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733C5">
      <w:pPr>
        <w:spacing w:before="86" w:line="262" w:lineRule="auto"/>
        <w:ind w:left="3019" w:leftChars="209" w:hanging="2580" w:hangingChars="600"/>
        <w:rPr>
          <w:rFonts w:ascii="宋体" w:hAnsi="宋体" w:eastAsia="宋体" w:cs="宋体"/>
          <w:b w:val="0"/>
          <w:bCs w:val="0"/>
          <w:spacing w:val="-5"/>
          <w:sz w:val="44"/>
          <w:szCs w:val="44"/>
          <w14:textOutline w14:w="7975" w14:cap="sq" w14:cmpd="sng" w14:algn="ctr">
            <w14:solidFill>
              <w14:srgbClr w14:val="000000"/>
            </w14:solidFill>
            <w14:prstDash w14:val="solid"/>
            <w14:bevel/>
          </w14:textOutline>
        </w:rPr>
      </w:pPr>
    </w:p>
    <w:p w14:paraId="0AD56EDA">
      <w:pPr>
        <w:keepNext w:val="0"/>
        <w:keepLines w:val="0"/>
        <w:pageBreakBefore w:val="0"/>
        <w:widowControl/>
        <w:kinsoku w:val="0"/>
        <w:wordWrap/>
        <w:overflowPunct/>
        <w:topLinePunct w:val="0"/>
        <w:autoSpaceDE w:val="0"/>
        <w:autoSpaceDN w:val="0"/>
        <w:bidi w:val="0"/>
        <w:adjustRightInd w:val="0"/>
        <w:snapToGrid w:val="0"/>
        <w:spacing w:before="274" w:line="360" w:lineRule="auto"/>
        <w:jc w:val="center"/>
        <w:textAlignment w:val="baseline"/>
        <w:rPr>
          <w:rFonts w:hint="eastAsia" w:ascii="宋体" w:hAnsi="宋体" w:eastAsia="宋体" w:cs="宋体"/>
          <w:b w:val="0"/>
          <w:bCs w:val="0"/>
          <w:spacing w:val="-23"/>
          <w:sz w:val="48"/>
          <w:szCs w:val="48"/>
          <w:lang w:eastAsia="zh-CN"/>
          <w14:textOutline w14:w="7975" w14:cap="sq" w14:cmpd="sng" w14:algn="ctr">
            <w14:solidFill>
              <w14:srgbClr w14:val="000000"/>
            </w14:solidFill>
            <w14:prstDash w14:val="solid"/>
            <w14:bevel/>
          </w14:textOutline>
        </w:rPr>
      </w:pPr>
      <w:r>
        <w:rPr>
          <w:rFonts w:hint="eastAsia" w:ascii="宋体" w:hAnsi="宋体" w:eastAsia="宋体" w:cs="宋体"/>
          <w:b w:val="0"/>
          <w:bCs w:val="0"/>
          <w:spacing w:val="-23"/>
          <w:sz w:val="48"/>
          <w:szCs w:val="48"/>
          <w:lang w:eastAsia="zh-CN"/>
          <w14:textOutline w14:w="7975" w14:cap="sq" w14:cmpd="sng" w14:algn="ctr">
            <w14:solidFill>
              <w14:srgbClr w14:val="000000"/>
            </w14:solidFill>
            <w14:prstDash w14:val="solid"/>
            <w14:bevel/>
          </w14:textOutline>
        </w:rPr>
        <w:t>2024年乐龙路万全陈岭段水毁工程项目</w:t>
      </w:r>
    </w:p>
    <w:p w14:paraId="5983C77B">
      <w:pPr>
        <w:pStyle w:val="2"/>
        <w:rPr>
          <w:rFonts w:hint="eastAsia" w:ascii="宋体" w:hAnsi="宋体" w:eastAsia="宋体" w:cs="宋体"/>
          <w:b w:val="0"/>
          <w:bCs w:val="0"/>
          <w:spacing w:val="-5"/>
          <w:sz w:val="48"/>
          <w:szCs w:val="48"/>
          <w:lang w:eastAsia="zh-CN"/>
          <w14:textOutline w14:w="7975" w14:cap="sq" w14:cmpd="sng" w14:algn="ctr">
            <w14:solidFill>
              <w14:srgbClr w14:val="000000"/>
            </w14:solidFill>
            <w14:prstDash w14:val="solid"/>
            <w14:bevel/>
          </w14:textOutline>
        </w:rPr>
      </w:pPr>
    </w:p>
    <w:p w14:paraId="365C03D0">
      <w:pPr>
        <w:pStyle w:val="2"/>
        <w:rPr>
          <w:rFonts w:hint="eastAsia" w:ascii="宋体" w:hAnsi="宋体" w:eastAsia="宋体" w:cs="宋体"/>
          <w:b w:val="0"/>
          <w:bCs w:val="0"/>
          <w:spacing w:val="-5"/>
          <w:sz w:val="48"/>
          <w:szCs w:val="48"/>
          <w:lang w:eastAsia="zh-CN"/>
          <w14:textOutline w14:w="7975" w14:cap="sq" w14:cmpd="sng" w14:algn="ctr">
            <w14:solidFill>
              <w14:srgbClr w14:val="000000"/>
            </w14:solidFill>
            <w14:prstDash w14:val="solid"/>
            <w14:bevel/>
          </w14:textOutline>
        </w:rPr>
      </w:pPr>
    </w:p>
    <w:p w14:paraId="4FE4DD1E">
      <w:pPr>
        <w:pStyle w:val="2"/>
        <w:rPr>
          <w:rFonts w:hint="eastAsia" w:ascii="宋体" w:hAnsi="宋体" w:eastAsia="宋体" w:cs="宋体"/>
          <w:b w:val="0"/>
          <w:bCs w:val="0"/>
          <w:spacing w:val="-5"/>
          <w:sz w:val="48"/>
          <w:szCs w:val="48"/>
          <w:lang w:eastAsia="zh-CN"/>
          <w14:textOutline w14:w="7975" w14:cap="sq" w14:cmpd="sng" w14:algn="ctr">
            <w14:solidFill>
              <w14:srgbClr w14:val="000000"/>
            </w14:solidFill>
            <w14:prstDash w14:val="solid"/>
            <w14:bevel/>
          </w14:textOutline>
        </w:rPr>
      </w:pPr>
    </w:p>
    <w:p w14:paraId="6E964F87">
      <w:pPr>
        <w:spacing w:before="274" w:line="184" w:lineRule="auto"/>
        <w:ind w:firstLine="2116"/>
        <w:rPr>
          <w:rFonts w:ascii="宋体" w:hAnsi="宋体" w:eastAsia="宋体" w:cs="宋体"/>
          <w:b w:val="0"/>
          <w:bCs w:val="0"/>
          <w:sz w:val="84"/>
          <w:szCs w:val="84"/>
        </w:rPr>
      </w:pP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交</w:t>
      </w:r>
      <w:r>
        <w:rPr>
          <w:rFonts w:ascii="宋体" w:hAnsi="宋体" w:eastAsia="宋体" w:cs="宋体"/>
          <w:b w:val="0"/>
          <w:bCs w:val="0"/>
          <w:spacing w:val="95"/>
          <w:sz w:val="84"/>
          <w:szCs w:val="84"/>
        </w:rPr>
        <w:t xml:space="preserve"> </w:t>
      </w: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易</w:t>
      </w:r>
      <w:r>
        <w:rPr>
          <w:rFonts w:ascii="宋体" w:hAnsi="宋体" w:eastAsia="宋体" w:cs="宋体"/>
          <w:b w:val="0"/>
          <w:bCs w:val="0"/>
          <w:spacing w:val="42"/>
          <w:sz w:val="84"/>
          <w:szCs w:val="84"/>
        </w:rPr>
        <w:t xml:space="preserve"> </w:t>
      </w: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文</w:t>
      </w:r>
      <w:r>
        <w:rPr>
          <w:rFonts w:ascii="宋体" w:hAnsi="宋体" w:eastAsia="宋体" w:cs="宋体"/>
          <w:b w:val="0"/>
          <w:bCs w:val="0"/>
          <w:spacing w:val="32"/>
          <w:sz w:val="84"/>
          <w:szCs w:val="84"/>
        </w:rPr>
        <w:t xml:space="preserve"> </w:t>
      </w: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件</w:t>
      </w:r>
    </w:p>
    <w:p w14:paraId="43BB02B4">
      <w:pPr>
        <w:spacing w:line="241" w:lineRule="auto"/>
        <w:rPr>
          <w:rFonts w:ascii="宋体"/>
        </w:rPr>
      </w:pPr>
    </w:p>
    <w:p w14:paraId="07F47958">
      <w:pPr>
        <w:spacing w:line="241" w:lineRule="auto"/>
        <w:rPr>
          <w:rFonts w:ascii="宋体"/>
        </w:rPr>
      </w:pPr>
    </w:p>
    <w:p w14:paraId="3238BA5B">
      <w:pPr>
        <w:spacing w:line="241" w:lineRule="auto"/>
        <w:rPr>
          <w:rFonts w:ascii="宋体"/>
        </w:rPr>
      </w:pPr>
    </w:p>
    <w:p w14:paraId="04B0AC12">
      <w:pPr>
        <w:spacing w:before="79" w:line="184" w:lineRule="auto"/>
        <w:ind w:firstLine="2970"/>
        <w:rPr>
          <w:rFonts w:hint="eastAsia" w:ascii="宋体" w:hAnsi="宋体" w:eastAsia="宋体" w:cs="宋体"/>
          <w:spacing w:val="-10"/>
          <w:sz w:val="24"/>
          <w:szCs w:val="24"/>
          <w:lang w:val="en-US" w:eastAsia="zh-CN"/>
          <w14:textOutline w14:w="4356" w14:cap="sq" w14:cmpd="sng" w14:algn="ctr">
            <w14:solidFill>
              <w14:srgbClr w14:val="000000"/>
            </w14:solidFill>
            <w14:prstDash w14:val="solid"/>
            <w14:bevel/>
          </w14:textOutline>
        </w:rPr>
      </w:pPr>
    </w:p>
    <w:p w14:paraId="75C9D6E2">
      <w:pPr>
        <w:spacing w:before="79" w:line="184" w:lineRule="auto"/>
        <w:jc w:val="center"/>
        <w:rPr>
          <w:rFonts w:hint="default" w:ascii="宋体" w:hAnsi="宋体" w:eastAsia="宋体" w:cs="宋体"/>
          <w:spacing w:val="-10"/>
          <w:sz w:val="28"/>
          <w:szCs w:val="28"/>
          <w:lang w:val="en-US" w:eastAsia="zh-CN"/>
          <w14:textOutline w14:w="4356" w14:cap="sq" w14:cmpd="sng" w14:algn="ctr">
            <w14:solidFill>
              <w14:srgbClr w14:val="000000"/>
            </w14:solidFill>
            <w14:prstDash w14:val="solid"/>
            <w14:bevel/>
          </w14:textOutline>
        </w:rPr>
      </w:pPr>
      <w:r>
        <w:rPr>
          <w:rFonts w:hint="eastAsia" w:ascii="宋体" w:hAnsi="宋体" w:eastAsia="宋体" w:cs="宋体"/>
          <w:spacing w:val="-10"/>
          <w:sz w:val="28"/>
          <w:szCs w:val="28"/>
          <w:lang w:val="en-US" w:eastAsia="zh-CN"/>
          <w14:textOutline w14:w="4356" w14:cap="sq" w14:cmpd="sng" w14:algn="ctr">
            <w14:solidFill>
              <w14:srgbClr w14:val="000000"/>
            </w14:solidFill>
            <w14:prstDash w14:val="solid"/>
            <w14:bevel/>
          </w14:textOutline>
        </w:rPr>
        <w:t>项目编号：皖H4-2024-006（ZT）</w:t>
      </w:r>
    </w:p>
    <w:p w14:paraId="7DD82730">
      <w:pPr>
        <w:spacing w:line="246" w:lineRule="auto"/>
        <w:rPr>
          <w:rFonts w:ascii="宋体" w:eastAsia="宋体"/>
        </w:rPr>
      </w:pPr>
    </w:p>
    <w:p w14:paraId="46E4CFB1">
      <w:pPr>
        <w:spacing w:line="246" w:lineRule="auto"/>
        <w:rPr>
          <w:rFonts w:ascii="宋体"/>
        </w:rPr>
      </w:pPr>
    </w:p>
    <w:p w14:paraId="0CFAD954">
      <w:pPr>
        <w:spacing w:line="246" w:lineRule="auto"/>
        <w:rPr>
          <w:rFonts w:ascii="宋体"/>
        </w:rPr>
      </w:pPr>
    </w:p>
    <w:p w14:paraId="6605C28B">
      <w:pPr>
        <w:spacing w:line="246" w:lineRule="auto"/>
        <w:rPr>
          <w:rFonts w:ascii="宋体"/>
        </w:rPr>
      </w:pPr>
    </w:p>
    <w:p w14:paraId="7EDBD26A">
      <w:pPr>
        <w:spacing w:line="246" w:lineRule="auto"/>
        <w:rPr>
          <w:rFonts w:ascii="宋体"/>
        </w:rPr>
      </w:pPr>
    </w:p>
    <w:p w14:paraId="4471F183">
      <w:pPr>
        <w:tabs>
          <w:tab w:val="left" w:pos="846"/>
        </w:tabs>
        <w:spacing w:line="246" w:lineRule="auto"/>
        <w:rPr>
          <w:rFonts w:ascii="宋体" w:eastAsia="宋体"/>
        </w:rPr>
      </w:pPr>
    </w:p>
    <w:p w14:paraId="24C6DAE7">
      <w:pPr>
        <w:spacing w:line="246" w:lineRule="auto"/>
        <w:rPr>
          <w:rFonts w:ascii="宋体"/>
        </w:rPr>
      </w:pPr>
    </w:p>
    <w:p w14:paraId="3480051B">
      <w:pPr>
        <w:spacing w:line="247" w:lineRule="auto"/>
        <w:rPr>
          <w:rFonts w:ascii="宋体"/>
        </w:rPr>
      </w:pPr>
    </w:p>
    <w:p w14:paraId="372F57CA">
      <w:pPr>
        <w:spacing w:line="247" w:lineRule="auto"/>
        <w:rPr>
          <w:rFonts w:ascii="宋体"/>
        </w:rPr>
      </w:pPr>
    </w:p>
    <w:p w14:paraId="59388F4C">
      <w:pPr>
        <w:pStyle w:val="2"/>
        <w:rPr>
          <w:rFonts w:ascii="宋体"/>
        </w:rPr>
      </w:pPr>
    </w:p>
    <w:p w14:paraId="5396D53F">
      <w:pPr>
        <w:pStyle w:val="2"/>
        <w:rPr>
          <w:rFonts w:ascii="宋体"/>
        </w:rPr>
      </w:pPr>
    </w:p>
    <w:p w14:paraId="7E55C37B">
      <w:pPr>
        <w:spacing w:line="247" w:lineRule="auto"/>
        <w:rPr>
          <w:rFonts w:ascii="宋体"/>
        </w:rPr>
      </w:pPr>
    </w:p>
    <w:p w14:paraId="7FF9DAE8">
      <w:pPr>
        <w:spacing w:line="247" w:lineRule="auto"/>
        <w:rPr>
          <w:rFonts w:ascii="宋体"/>
        </w:rPr>
      </w:pPr>
    </w:p>
    <w:p w14:paraId="4764CAC0">
      <w:pPr>
        <w:spacing w:before="104" w:line="184" w:lineRule="auto"/>
        <w:ind w:firstLine="1370" w:firstLineChars="500"/>
        <w:rPr>
          <w:rFonts w:ascii="宋体" w:hAnsi="宋体" w:eastAsia="宋体" w:cs="宋体"/>
          <w:sz w:val="32"/>
          <w:szCs w:val="32"/>
        </w:rPr>
      </w:pPr>
      <w:r>
        <w:rPr>
          <w:rFonts w:ascii="宋体" w:hAnsi="宋体" w:eastAsia="宋体" w:cs="宋体"/>
          <w:spacing w:val="-23"/>
          <w:sz w:val="32"/>
          <w:szCs w:val="32"/>
          <w14:textOutline w14:w="5791" w14:cap="sq" w14:cmpd="sng" w14:algn="ctr">
            <w14:solidFill>
              <w14:srgbClr w14:val="000000"/>
            </w14:solidFill>
            <w14:prstDash w14:val="solid"/>
            <w14:bevel/>
          </w14:textOutline>
        </w:rPr>
        <w:t>招</w:t>
      </w:r>
      <w:r>
        <w:rPr>
          <w:rFonts w:ascii="宋体" w:hAnsi="宋体" w:eastAsia="宋体" w:cs="宋体"/>
          <w:spacing w:val="-29"/>
          <w:sz w:val="32"/>
          <w:szCs w:val="32"/>
        </w:rPr>
        <w:t xml:space="preserve"> </w:t>
      </w:r>
      <w:r>
        <w:rPr>
          <w:rFonts w:ascii="宋体" w:hAnsi="宋体" w:eastAsia="宋体" w:cs="宋体"/>
          <w:spacing w:val="-23"/>
          <w:sz w:val="32"/>
          <w:szCs w:val="32"/>
          <w14:textOutline w14:w="5791" w14:cap="sq" w14:cmpd="sng" w14:algn="ctr">
            <w14:solidFill>
              <w14:srgbClr w14:val="000000"/>
            </w14:solidFill>
            <w14:prstDash w14:val="solid"/>
            <w14:bevel/>
          </w14:textOutline>
        </w:rPr>
        <w:t>标</w:t>
      </w:r>
      <w:r>
        <w:rPr>
          <w:rFonts w:ascii="宋体" w:hAnsi="宋体" w:eastAsia="宋体" w:cs="宋体"/>
          <w:spacing w:val="-32"/>
          <w:sz w:val="32"/>
          <w:szCs w:val="32"/>
        </w:rPr>
        <w:t xml:space="preserve"> </w:t>
      </w:r>
      <w:r>
        <w:rPr>
          <w:rFonts w:ascii="宋体" w:hAnsi="宋体" w:eastAsia="宋体" w:cs="宋体"/>
          <w:spacing w:val="-23"/>
          <w:sz w:val="32"/>
          <w:szCs w:val="32"/>
          <w14:textOutline w14:w="5791" w14:cap="sq" w14:cmpd="sng" w14:algn="ctr">
            <w14:solidFill>
              <w14:srgbClr w14:val="000000"/>
            </w14:solidFill>
            <w14:prstDash w14:val="solid"/>
            <w14:bevel/>
          </w14:textOutline>
        </w:rPr>
        <w:t>人：</w:t>
      </w:r>
      <w:r>
        <w:rPr>
          <w:rFonts w:ascii="宋体" w:hAnsi="宋体" w:eastAsia="宋体" w:cs="宋体"/>
          <w:spacing w:val="7"/>
          <w:sz w:val="32"/>
          <w:szCs w:val="32"/>
          <w:u w:val="single"/>
        </w:rPr>
        <w:t xml:space="preserve"> </w:t>
      </w:r>
      <w:r>
        <w:rPr>
          <w:rFonts w:hint="eastAsia" w:ascii="宋体" w:hAnsi="宋体" w:eastAsia="宋体" w:cs="宋体"/>
          <w:b/>
          <w:bCs/>
          <w:spacing w:val="7"/>
          <w:sz w:val="32"/>
          <w:szCs w:val="32"/>
          <w:u w:val="single"/>
          <w:lang w:eastAsia="zh-CN"/>
        </w:rPr>
        <w:t>潜山市槎水镇万全村村民委员会</w:t>
      </w:r>
      <w:r>
        <w:rPr>
          <w:rFonts w:hint="eastAsia" w:ascii="宋体" w:hAnsi="宋体" w:eastAsia="宋体" w:cs="宋体"/>
          <w:spacing w:val="7"/>
          <w:sz w:val="32"/>
          <w:szCs w:val="32"/>
          <w:u w:val="single"/>
          <w:lang w:val="en-US" w:eastAsia="zh-CN"/>
        </w:rPr>
        <w:t xml:space="preserve">  </w:t>
      </w:r>
    </w:p>
    <w:p w14:paraId="698264BC">
      <w:pPr>
        <w:spacing w:line="275" w:lineRule="auto"/>
        <w:rPr>
          <w:rFonts w:ascii="宋体"/>
        </w:rPr>
      </w:pPr>
    </w:p>
    <w:p w14:paraId="41CADCDB">
      <w:pPr>
        <w:spacing w:line="276" w:lineRule="auto"/>
        <w:rPr>
          <w:rFonts w:ascii="宋体"/>
        </w:rPr>
      </w:pPr>
    </w:p>
    <w:p w14:paraId="2FD69299">
      <w:pPr>
        <w:spacing w:before="104" w:line="184" w:lineRule="auto"/>
        <w:ind w:firstLine="1192" w:firstLineChars="400"/>
        <w:jc w:val="both"/>
        <w:rPr>
          <w:rFonts w:ascii="宋体" w:hAnsi="宋体" w:eastAsia="宋体" w:cs="宋体"/>
          <w:sz w:val="32"/>
          <w:szCs w:val="32"/>
          <w:highlight w:val="none"/>
        </w:rPr>
      </w:pPr>
      <w:r>
        <w:rPr>
          <w:rFonts w:ascii="宋体" w:hAnsi="宋体" w:eastAsia="宋体" w:cs="宋体"/>
          <w:spacing w:val="-11"/>
          <w:sz w:val="32"/>
          <w:szCs w:val="32"/>
          <w14:textOutline w14:w="5791" w14:cap="sq" w14:cmpd="sng" w14:algn="ctr">
            <w14:solidFill>
              <w14:srgbClr w14:val="000000"/>
            </w14:solidFill>
            <w14:prstDash w14:val="solid"/>
            <w14:bevel/>
          </w14:textOutline>
        </w:rPr>
        <w:t>招标代理机构：</w:t>
      </w:r>
      <w:r>
        <w:rPr>
          <w:rFonts w:hint="eastAsia" w:ascii="宋体" w:hAnsi="宋体" w:eastAsia="宋体" w:cs="宋体"/>
          <w:b/>
          <w:bCs/>
          <w:spacing w:val="31"/>
          <w:sz w:val="32"/>
          <w:szCs w:val="32"/>
          <w:u w:val="single"/>
          <w:lang w:eastAsia="zh-CN"/>
        </w:rPr>
        <w:t>安徽中通建设项目管理有限公司</w:t>
      </w:r>
    </w:p>
    <w:p w14:paraId="0F29B3F0">
      <w:pPr>
        <w:spacing w:line="275" w:lineRule="auto"/>
        <w:rPr>
          <w:rFonts w:ascii="宋体"/>
          <w:highlight w:val="none"/>
        </w:rPr>
      </w:pPr>
    </w:p>
    <w:p w14:paraId="52B07309">
      <w:pPr>
        <w:spacing w:line="276" w:lineRule="auto"/>
        <w:rPr>
          <w:rFonts w:ascii="宋体"/>
          <w:highlight w:val="none"/>
        </w:rPr>
      </w:pPr>
    </w:p>
    <w:p w14:paraId="001591E9">
      <w:pPr>
        <w:spacing w:before="104" w:line="184" w:lineRule="auto"/>
        <w:ind w:firstLine="3200"/>
        <w:rPr>
          <w:rFonts w:ascii="宋体" w:hAnsi="宋体" w:eastAsia="宋体" w:cs="宋体"/>
          <w:sz w:val="32"/>
          <w:szCs w:val="32"/>
          <w:highlight w:val="none"/>
        </w:rPr>
      </w:pPr>
      <w:r>
        <w:rPr>
          <w:rFonts w:ascii="宋体" w:hAnsi="宋体" w:eastAsia="宋体" w:cs="宋体"/>
          <w:spacing w:val="-5"/>
          <w:sz w:val="32"/>
          <w:szCs w:val="32"/>
          <w:highlight w:val="none"/>
        </w:rPr>
        <w:t>二〇二</w:t>
      </w:r>
      <w:r>
        <w:rPr>
          <w:rFonts w:hint="eastAsia" w:ascii="宋体" w:hAnsi="宋体" w:eastAsia="宋体" w:cs="宋体"/>
          <w:spacing w:val="-5"/>
          <w:sz w:val="32"/>
          <w:szCs w:val="32"/>
          <w:highlight w:val="none"/>
          <w:lang w:val="en-US" w:eastAsia="zh-CN"/>
        </w:rPr>
        <w:t>四</w:t>
      </w:r>
      <w:r>
        <w:rPr>
          <w:rFonts w:ascii="宋体" w:hAnsi="宋体" w:eastAsia="宋体" w:cs="宋体"/>
          <w:spacing w:val="-5"/>
          <w:sz w:val="32"/>
          <w:szCs w:val="32"/>
          <w:highlight w:val="none"/>
        </w:rPr>
        <w:t>年</w:t>
      </w:r>
      <w:r>
        <w:rPr>
          <w:rFonts w:hint="eastAsia" w:ascii="宋体" w:hAnsi="宋体" w:eastAsia="宋体" w:cs="宋体"/>
          <w:spacing w:val="-5"/>
          <w:sz w:val="32"/>
          <w:szCs w:val="32"/>
          <w:highlight w:val="none"/>
          <w:lang w:val="en-US" w:eastAsia="zh-CN"/>
        </w:rPr>
        <w:t>十二</w:t>
      </w:r>
      <w:r>
        <w:rPr>
          <w:rFonts w:ascii="宋体" w:hAnsi="宋体" w:eastAsia="宋体" w:cs="宋体"/>
          <w:spacing w:val="-5"/>
          <w:sz w:val="32"/>
          <w:szCs w:val="32"/>
          <w:highlight w:val="none"/>
        </w:rPr>
        <w:t>月</w:t>
      </w:r>
    </w:p>
    <w:p w14:paraId="247F5C1C">
      <w:pPr>
        <w:rPr>
          <w:highlight w:val="none"/>
        </w:rPr>
        <w:sectPr>
          <w:footerReference r:id="rId3" w:type="default"/>
          <w:pgSz w:w="11906" w:h="16839"/>
          <w:pgMar w:top="1309" w:right="1531" w:bottom="0" w:left="1569" w:header="0" w:footer="0" w:gutter="0"/>
          <w:cols w:space="720" w:num="1"/>
        </w:sectPr>
      </w:pPr>
    </w:p>
    <w:p w14:paraId="6B787B75">
      <w:pPr>
        <w:spacing w:before="139" w:after="100" w:afterAutospacing="1" w:line="20" w:lineRule="atLeast"/>
        <w:ind w:left="2284" w:right="103" w:hanging="2159"/>
        <w:jc w:val="center"/>
        <w:rPr>
          <w:rFonts w:ascii="宋体" w:hAnsi="宋体" w:eastAsia="宋体" w:cs="宋体"/>
          <w:b/>
          <w:bCs/>
          <w:sz w:val="28"/>
          <w:szCs w:val="28"/>
          <w:highlight w:val="none"/>
          <w:lang w:bidi="ar"/>
        </w:rPr>
      </w:pPr>
      <w:r>
        <w:rPr>
          <w:rFonts w:hint="eastAsia" w:ascii="宋体" w:hAnsi="宋体" w:eastAsia="宋体" w:cs="宋体"/>
          <w:b/>
          <w:bCs/>
          <w:sz w:val="28"/>
          <w:szCs w:val="28"/>
          <w:highlight w:val="none"/>
          <w:lang w:eastAsia="zh-CN" w:bidi="ar"/>
        </w:rPr>
        <w:t>2024年乐龙路万全陈岭段水毁工程项目</w:t>
      </w:r>
      <w:r>
        <w:rPr>
          <w:rFonts w:hint="eastAsia" w:ascii="宋体" w:hAnsi="宋体" w:eastAsia="宋体" w:cs="宋体"/>
          <w:b/>
          <w:bCs/>
          <w:sz w:val="28"/>
          <w:szCs w:val="28"/>
          <w:highlight w:val="none"/>
          <w:lang w:bidi="ar"/>
        </w:rPr>
        <w:t>交易公告</w:t>
      </w:r>
    </w:p>
    <w:p w14:paraId="0220E606">
      <w:pPr>
        <w:keepNext w:val="0"/>
        <w:keepLines w:val="0"/>
        <w:pageBreakBefore w:val="0"/>
        <w:widowControl/>
        <w:kinsoku w:val="0"/>
        <w:overflowPunct/>
        <w:topLinePunct w:val="0"/>
        <w:autoSpaceDE w:val="0"/>
        <w:autoSpaceDN w:val="0"/>
        <w:bidi w:val="0"/>
        <w:adjustRightInd w:val="0"/>
        <w:snapToGrid w:val="0"/>
        <w:spacing w:line="540" w:lineRule="exact"/>
        <w:ind w:firstLine="482" w:firstLineChars="200"/>
        <w:textAlignment w:val="baseline"/>
        <w:rPr>
          <w:rFonts w:ascii="宋体" w:hAnsi="宋体" w:eastAsia="宋体" w:cs="宋体"/>
          <w:sz w:val="24"/>
          <w:szCs w:val="24"/>
          <w:highlight w:val="none"/>
        </w:rPr>
      </w:pPr>
      <w:r>
        <w:rPr>
          <w:rFonts w:hint="eastAsia" w:ascii="宋体" w:hAnsi="宋体" w:eastAsia="宋体" w:cs="宋体"/>
          <w:b/>
          <w:bCs/>
          <w:sz w:val="24"/>
          <w:szCs w:val="24"/>
          <w:highlight w:val="none"/>
          <w:lang w:eastAsia="zh-CN" w:bidi="ar"/>
        </w:rPr>
        <w:t>安徽中通建设项目管理有限公司</w:t>
      </w:r>
      <w:r>
        <w:rPr>
          <w:rFonts w:hint="eastAsia" w:ascii="宋体" w:hAnsi="宋体" w:eastAsia="宋体" w:cs="宋体"/>
          <w:sz w:val="24"/>
          <w:szCs w:val="24"/>
          <w:highlight w:val="none"/>
          <w:lang w:bidi="ar"/>
        </w:rPr>
        <w:t>受</w:t>
      </w:r>
      <w:r>
        <w:rPr>
          <w:rFonts w:hint="eastAsia" w:ascii="宋体" w:hAnsi="宋体" w:eastAsia="宋体" w:cs="宋体"/>
          <w:b/>
          <w:bCs/>
          <w:sz w:val="24"/>
          <w:szCs w:val="24"/>
          <w:highlight w:val="none"/>
          <w:lang w:eastAsia="zh-CN" w:bidi="ar"/>
        </w:rPr>
        <w:t>潜山市槎水镇万全村村民委员会</w:t>
      </w:r>
      <w:r>
        <w:rPr>
          <w:rFonts w:hint="eastAsia" w:ascii="宋体" w:hAnsi="宋体" w:eastAsia="宋体" w:cs="宋体"/>
          <w:sz w:val="24"/>
          <w:szCs w:val="24"/>
          <w:highlight w:val="none"/>
          <w:lang w:bidi="ar"/>
        </w:rPr>
        <w:t>委托，现对</w:t>
      </w:r>
      <w:r>
        <w:rPr>
          <w:rFonts w:hint="eastAsia" w:ascii="宋体" w:hAnsi="宋体" w:eastAsia="宋体" w:cs="宋体"/>
          <w:b/>
          <w:bCs/>
          <w:sz w:val="24"/>
          <w:szCs w:val="24"/>
          <w:highlight w:val="none"/>
          <w:lang w:eastAsia="zh-CN" w:bidi="ar"/>
        </w:rPr>
        <w:t>2024年乐龙路万全陈岭段水毁工程项目</w:t>
      </w:r>
      <w:r>
        <w:rPr>
          <w:rFonts w:hint="eastAsia" w:ascii="宋体" w:hAnsi="宋体" w:eastAsia="宋体" w:cs="宋体"/>
          <w:sz w:val="24"/>
          <w:szCs w:val="24"/>
          <w:highlight w:val="none"/>
          <w:lang w:bidi="ar"/>
        </w:rPr>
        <w:t>施工进行公告，欢迎</w:t>
      </w:r>
      <w:r>
        <w:rPr>
          <w:rFonts w:hint="eastAsia" w:ascii="宋体" w:hAnsi="宋体" w:eastAsia="宋体" w:cs="宋体"/>
          <w:sz w:val="24"/>
          <w:szCs w:val="24"/>
          <w:highlight w:val="none"/>
          <w:lang w:eastAsia="zh-CN" w:bidi="ar"/>
        </w:rPr>
        <w:t>潜山市槎水镇</w:t>
      </w:r>
      <w:r>
        <w:rPr>
          <w:rFonts w:hint="eastAsia" w:ascii="宋体" w:hAnsi="宋体" w:eastAsia="宋体" w:cs="宋体"/>
          <w:sz w:val="24"/>
          <w:szCs w:val="24"/>
          <w:highlight w:val="none"/>
          <w:lang w:bidi="ar"/>
        </w:rPr>
        <w:t>限额以下工程建设项目备选承包人参与。</w:t>
      </w:r>
    </w:p>
    <w:p w14:paraId="035DE792">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z w:val="24"/>
          <w:szCs w:val="24"/>
          <w:highlight w:val="none"/>
          <w:lang w:bidi="ar"/>
        </w:rPr>
        <w:t>一、项目名称及内容</w:t>
      </w:r>
    </w:p>
    <w:p w14:paraId="7A876D58">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1.项目编号：</w:t>
      </w:r>
      <w:r>
        <w:rPr>
          <w:rFonts w:hint="eastAsia" w:ascii="宋体" w:hAnsi="宋体" w:eastAsia="宋体" w:cs="宋体"/>
          <w:sz w:val="24"/>
          <w:szCs w:val="24"/>
          <w:highlight w:val="none"/>
          <w:lang w:val="en-US" w:eastAsia="zh-CN" w:bidi="ar"/>
        </w:rPr>
        <w:t>皖H4-2024-006（ZT）</w:t>
      </w:r>
    </w:p>
    <w:p w14:paraId="0AC84EFB">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eastAsia="zh-CN" w:bidi="ar"/>
        </w:rPr>
      </w:pPr>
      <w:r>
        <w:rPr>
          <w:rFonts w:hint="eastAsia" w:ascii="宋体" w:hAnsi="宋体" w:eastAsia="宋体" w:cs="宋体"/>
          <w:sz w:val="24"/>
          <w:szCs w:val="24"/>
          <w:highlight w:val="none"/>
          <w:lang w:bidi="ar"/>
        </w:rPr>
        <w:t>2.项目名称：</w:t>
      </w:r>
      <w:r>
        <w:rPr>
          <w:rFonts w:hint="eastAsia" w:ascii="宋体" w:hAnsi="宋体" w:eastAsia="宋体" w:cs="宋体"/>
          <w:sz w:val="24"/>
          <w:szCs w:val="24"/>
          <w:highlight w:val="none"/>
          <w:lang w:eastAsia="zh-CN" w:bidi="ar"/>
        </w:rPr>
        <w:t>2024年乐龙路万全陈岭段水毁工程项目</w:t>
      </w:r>
    </w:p>
    <w:p w14:paraId="3B406F67">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default" w:ascii="宋体" w:hAnsi="宋体" w:eastAsia="宋体" w:cs="宋体"/>
          <w:sz w:val="24"/>
          <w:szCs w:val="24"/>
          <w:highlight w:val="none"/>
          <w:lang w:val="en-US" w:eastAsia="zh-CN" w:bidi="ar"/>
        </w:rPr>
      </w:pPr>
      <w:r>
        <w:rPr>
          <w:rFonts w:hint="eastAsia" w:ascii="宋体" w:hAnsi="宋体" w:eastAsia="宋体" w:cs="宋体"/>
          <w:sz w:val="24"/>
          <w:szCs w:val="24"/>
          <w:highlight w:val="none"/>
          <w:lang w:bidi="ar"/>
        </w:rPr>
        <w:t>3.项目地点：</w:t>
      </w:r>
      <w:r>
        <w:rPr>
          <w:rFonts w:hint="eastAsia" w:ascii="宋体" w:hAnsi="宋体" w:eastAsia="宋体" w:cs="宋体"/>
          <w:sz w:val="24"/>
          <w:szCs w:val="24"/>
          <w:highlight w:val="none"/>
          <w:lang w:eastAsia="zh-CN" w:bidi="ar"/>
        </w:rPr>
        <w:t>潜山市槎水镇</w:t>
      </w:r>
      <w:r>
        <w:rPr>
          <w:rFonts w:hint="eastAsia" w:ascii="宋体" w:hAnsi="宋体" w:eastAsia="宋体" w:cs="宋体"/>
          <w:sz w:val="24"/>
          <w:szCs w:val="24"/>
          <w:highlight w:val="none"/>
          <w:lang w:val="en-US" w:eastAsia="zh-CN" w:bidi="ar"/>
        </w:rPr>
        <w:t>万全村</w:t>
      </w:r>
    </w:p>
    <w:p w14:paraId="7BA335A0">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4.最高投标限价：</w:t>
      </w:r>
      <w:r>
        <w:rPr>
          <w:rFonts w:hint="eastAsia" w:ascii="宋体" w:hAnsi="宋体" w:eastAsia="宋体" w:cs="宋体"/>
          <w:b/>
          <w:bCs/>
          <w:sz w:val="24"/>
          <w:szCs w:val="24"/>
          <w:highlight w:val="none"/>
          <w:lang w:bidi="ar"/>
        </w:rPr>
        <w:t>144510.48元</w:t>
      </w:r>
      <w:r>
        <w:rPr>
          <w:rFonts w:hint="eastAsia" w:ascii="宋体" w:hAnsi="宋体" w:eastAsia="宋体" w:cs="宋体"/>
          <w:sz w:val="24"/>
          <w:szCs w:val="24"/>
          <w:highlight w:val="none"/>
          <w:lang w:bidi="ar"/>
        </w:rPr>
        <w:t>，详见后附最高投标限价。</w:t>
      </w:r>
    </w:p>
    <w:p w14:paraId="5A898D18">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b/>
          <w:bCs/>
          <w:sz w:val="24"/>
          <w:szCs w:val="24"/>
          <w:highlight w:val="none"/>
        </w:rPr>
      </w:pPr>
      <w:r>
        <w:rPr>
          <w:rFonts w:hint="eastAsia" w:ascii="宋体" w:hAnsi="宋体" w:eastAsia="宋体" w:cs="宋体"/>
          <w:sz w:val="24"/>
          <w:szCs w:val="24"/>
          <w:highlight w:val="none"/>
          <w:lang w:bidi="ar"/>
        </w:rPr>
        <w:t>5.</w:t>
      </w:r>
      <w:r>
        <w:rPr>
          <w:rFonts w:hint="eastAsia" w:ascii="宋体" w:hAnsi="宋体" w:eastAsia="宋体" w:cs="宋体"/>
          <w:b/>
          <w:bCs/>
          <w:sz w:val="24"/>
          <w:szCs w:val="24"/>
          <w:highlight w:val="none"/>
          <w:lang w:bidi="ar"/>
        </w:rPr>
        <w:t>成交合同价（固定报价）：</w:t>
      </w:r>
      <w:r>
        <w:rPr>
          <w:rFonts w:hint="eastAsia" w:ascii="宋体" w:hAnsi="宋体" w:eastAsia="宋体" w:cs="宋体"/>
          <w:b/>
          <w:bCs/>
          <w:sz w:val="24"/>
          <w:szCs w:val="24"/>
          <w:highlight w:val="none"/>
          <w:lang w:val="en-US" w:eastAsia="zh-CN" w:bidi="ar"/>
        </w:rPr>
        <w:t>130447.04元</w:t>
      </w:r>
    </w:p>
    <w:p w14:paraId="3C407146">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lang w:bidi="ar"/>
        </w:rPr>
      </w:pPr>
      <w:r>
        <w:rPr>
          <w:rFonts w:hint="eastAsia" w:ascii="宋体" w:hAnsi="宋体" w:eastAsia="宋体" w:cs="宋体"/>
          <w:sz w:val="24"/>
          <w:szCs w:val="24"/>
          <w:highlight w:val="none"/>
          <w:lang w:bidi="ar"/>
        </w:rPr>
        <w:t>6.项目内容</w:t>
      </w:r>
      <w:r>
        <w:rPr>
          <w:rFonts w:hint="eastAsia" w:ascii="宋体" w:hAnsi="宋体" w:eastAsia="宋体" w:cs="宋体"/>
          <w:sz w:val="24"/>
          <w:szCs w:val="24"/>
          <w:highlight w:val="none"/>
          <w:lang w:eastAsia="zh-CN" w:bidi="ar"/>
        </w:rPr>
        <w:t>：</w:t>
      </w:r>
      <w:r>
        <w:rPr>
          <w:rFonts w:hint="eastAsia" w:ascii="宋体" w:hAnsi="宋体"/>
          <w:bCs/>
          <w:sz w:val="24"/>
          <w:highlight w:val="none"/>
          <w:lang w:eastAsia="zh-CN"/>
        </w:rPr>
        <w:t>本次招标内容为2024年乐龙路万全陈岭段水毁工程项目，</w:t>
      </w:r>
      <w:r>
        <w:rPr>
          <w:rFonts w:hint="eastAsia" w:ascii="宋体" w:hAnsi="宋体" w:eastAsia="宋体" w:cs="宋体"/>
          <w:sz w:val="24"/>
          <w:szCs w:val="24"/>
          <w:highlight w:val="none"/>
          <w:lang w:bidi="ar"/>
        </w:rPr>
        <w:t>具体详见招标工程量清单等。</w:t>
      </w:r>
    </w:p>
    <w:p w14:paraId="10881FB4">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z w:val="24"/>
          <w:szCs w:val="24"/>
          <w:highlight w:val="none"/>
          <w:lang w:bidi="ar"/>
        </w:rPr>
        <w:t>7.计划工期：</w:t>
      </w:r>
      <w:r>
        <w:rPr>
          <w:rFonts w:hint="eastAsia" w:ascii="宋体" w:hAnsi="宋体" w:eastAsia="宋体" w:cs="宋体"/>
          <w:sz w:val="24"/>
          <w:szCs w:val="24"/>
          <w:highlight w:val="none"/>
          <w:u w:val="single"/>
          <w:lang w:val="en-US" w:eastAsia="zh-CN" w:bidi="ar"/>
        </w:rPr>
        <w:t xml:space="preserve"> 45 </w:t>
      </w:r>
      <w:r>
        <w:rPr>
          <w:rFonts w:hint="eastAsia" w:ascii="宋体" w:hAnsi="宋体" w:eastAsia="宋体" w:cs="宋体"/>
          <w:sz w:val="24"/>
          <w:szCs w:val="24"/>
          <w:highlight w:val="none"/>
          <w:lang w:val="en-US" w:eastAsia="zh-CN" w:bidi="ar"/>
        </w:rPr>
        <w:t>日历天</w:t>
      </w:r>
    </w:p>
    <w:p w14:paraId="3C2EE54F">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z w:val="24"/>
          <w:szCs w:val="24"/>
          <w:highlight w:val="none"/>
          <w:lang w:bidi="ar"/>
        </w:rPr>
        <w:t>二、资质、资格要求</w:t>
      </w:r>
    </w:p>
    <w:p w14:paraId="14EE26A9">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1.参与投标供应商须具备建设行政主管部门颁发的</w:t>
      </w:r>
      <w:r>
        <w:rPr>
          <w:rFonts w:hint="eastAsia" w:ascii="宋体" w:hAnsi="宋体" w:eastAsia="宋体" w:cs="宋体"/>
          <w:b/>
          <w:bCs/>
          <w:sz w:val="24"/>
          <w:szCs w:val="24"/>
          <w:highlight w:val="none"/>
          <w:lang w:bidi="ar"/>
        </w:rPr>
        <w:t>公路工程施工总承包三级（或以上）资质[</w:t>
      </w:r>
      <w:r>
        <w:rPr>
          <w:rFonts w:hint="eastAsia" w:ascii="宋体" w:hAnsi="宋体" w:eastAsia="宋体" w:cs="宋体"/>
          <w:b w:val="0"/>
          <w:bCs w:val="0"/>
          <w:sz w:val="24"/>
          <w:szCs w:val="24"/>
          <w:highlight w:val="none"/>
          <w:lang w:bidi="ar"/>
        </w:rPr>
        <w:t>或建设工程企业资质管理制度改革后颁发的</w:t>
      </w:r>
      <w:r>
        <w:rPr>
          <w:rFonts w:hint="eastAsia" w:ascii="宋体" w:hAnsi="宋体" w:eastAsia="宋体" w:cs="宋体"/>
          <w:b/>
          <w:bCs/>
          <w:sz w:val="24"/>
          <w:szCs w:val="24"/>
          <w:highlight w:val="none"/>
          <w:lang w:bidi="ar"/>
        </w:rPr>
        <w:t>公路工程施工总承包乙级(或以上)资质，或施工综合资质]</w:t>
      </w:r>
      <w:r>
        <w:rPr>
          <w:rFonts w:hint="eastAsia" w:ascii="宋体" w:hAnsi="宋体" w:eastAsia="宋体" w:cs="宋体"/>
          <w:sz w:val="24"/>
          <w:szCs w:val="24"/>
          <w:highlight w:val="none"/>
          <w:lang w:bidi="ar"/>
        </w:rPr>
        <w:t>。且具有有效的安全生产许可证。</w:t>
      </w:r>
    </w:p>
    <w:p w14:paraId="665B2E13">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2.拟派项目经理须同时具备下列①、②、③要求：</w:t>
      </w:r>
    </w:p>
    <w:p w14:paraId="64874B9D">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①具有</w:t>
      </w:r>
      <w:r>
        <w:rPr>
          <w:rFonts w:hint="eastAsia" w:ascii="宋体" w:hAnsi="宋体" w:eastAsia="宋体" w:cs="宋体"/>
          <w:b/>
          <w:bCs/>
          <w:sz w:val="24"/>
          <w:szCs w:val="24"/>
          <w:highlight w:val="none"/>
          <w:lang w:bidi="ar"/>
        </w:rPr>
        <w:t>公路工程专业二级（或以上）</w:t>
      </w:r>
      <w:r>
        <w:rPr>
          <w:rFonts w:hint="eastAsia" w:ascii="宋体" w:hAnsi="宋体" w:eastAsia="宋体" w:cs="宋体"/>
          <w:sz w:val="24"/>
          <w:szCs w:val="24"/>
          <w:highlight w:val="none"/>
          <w:lang w:bidi="ar"/>
        </w:rPr>
        <w:t>注册建造师执业资格；</w:t>
      </w:r>
    </w:p>
    <w:p w14:paraId="710DFF97">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②取得交通运输主管部门颁发的安全生产考核合格证B证；</w:t>
      </w:r>
    </w:p>
    <w:p w14:paraId="5DB1CAAC">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③投标截止日未在其他项目担任项目经理，或虽在其他项目上担任项目经理岗位，但承诺在本项目中标后合同签订（</w:t>
      </w:r>
      <w:r>
        <w:rPr>
          <w:rFonts w:hint="eastAsia" w:ascii="宋体" w:hAnsi="宋体" w:eastAsia="宋体" w:cs="宋体"/>
          <w:b/>
          <w:bCs/>
          <w:sz w:val="24"/>
          <w:szCs w:val="24"/>
          <w:highlight w:val="none"/>
          <w:lang w:bidi="ar"/>
        </w:rPr>
        <w:t>合同签订在法定时间为数据电文中标通知书发放之日起30日内</w:t>
      </w:r>
      <w:r>
        <w:rPr>
          <w:rFonts w:hint="eastAsia" w:ascii="宋体" w:hAnsi="宋体" w:eastAsia="宋体" w:cs="宋体"/>
          <w:sz w:val="24"/>
          <w:szCs w:val="24"/>
          <w:highlight w:val="none"/>
          <w:lang w:bidi="ar"/>
        </w:rPr>
        <w:t>）前能够从其他项目变更至本项目并全面履约。</w:t>
      </w:r>
    </w:p>
    <w:p w14:paraId="63BB6D60">
      <w:pPr>
        <w:keepNext w:val="0"/>
        <w:keepLines w:val="0"/>
        <w:pageBreakBefore w:val="0"/>
        <w:widowControl/>
        <w:numPr>
          <w:ilvl w:val="0"/>
          <w:numId w:val="0"/>
        </w:numPr>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napToGrid w:val="0"/>
          <w:color w:val="000000"/>
          <w:sz w:val="24"/>
          <w:szCs w:val="24"/>
          <w:lang w:val="en-US" w:eastAsia="zh-CN" w:bidi="ar-SA"/>
        </w:rPr>
        <w:t>三、</w:t>
      </w:r>
      <w:r>
        <w:rPr>
          <w:rFonts w:hint="eastAsia" w:ascii="宋体" w:hAnsi="宋体" w:eastAsia="宋体" w:cs="宋体"/>
          <w:sz w:val="24"/>
          <w:szCs w:val="24"/>
          <w:highlight w:val="none"/>
          <w:lang w:bidi="ar"/>
        </w:rPr>
        <w:t>交易时间、地点、规则</w:t>
      </w:r>
    </w:p>
    <w:p w14:paraId="66015541">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default" w:ascii="宋体" w:hAnsi="宋体" w:eastAsia="宋体" w:cs="宋体"/>
          <w:b/>
          <w:bCs/>
          <w:sz w:val="24"/>
          <w:szCs w:val="24"/>
          <w:highlight w:val="none"/>
          <w:u w:val="single"/>
          <w:lang w:val="en-US" w:eastAsia="zh-CN"/>
        </w:rPr>
      </w:pPr>
      <w:r>
        <w:rPr>
          <w:rFonts w:hint="eastAsia" w:ascii="宋体" w:hAnsi="宋体" w:eastAsia="宋体" w:cs="宋体"/>
          <w:sz w:val="24"/>
          <w:szCs w:val="24"/>
          <w:highlight w:val="none"/>
          <w:lang w:bidi="ar"/>
        </w:rPr>
        <w:t>1. 交易时间：</w:t>
      </w:r>
      <w:r>
        <w:rPr>
          <w:rFonts w:hint="eastAsia" w:ascii="宋体" w:hAnsi="宋体" w:eastAsia="宋体" w:cs="宋体"/>
          <w:b/>
          <w:bCs/>
          <w:sz w:val="24"/>
          <w:szCs w:val="24"/>
          <w:highlight w:val="none"/>
          <w:u w:val="single"/>
          <w:lang w:val="en-US" w:eastAsia="zh-CN" w:bidi="ar"/>
        </w:rPr>
        <w:t xml:space="preserve">2024 </w:t>
      </w:r>
      <w:r>
        <w:rPr>
          <w:rFonts w:hint="eastAsia" w:ascii="宋体" w:hAnsi="宋体" w:eastAsia="宋体" w:cs="宋体"/>
          <w:b/>
          <w:bCs/>
          <w:sz w:val="24"/>
          <w:szCs w:val="24"/>
          <w:highlight w:val="none"/>
          <w:u w:val="single"/>
          <w:lang w:eastAsia="zh-CN" w:bidi="ar"/>
        </w:rPr>
        <w:t>年</w:t>
      </w:r>
      <w:r>
        <w:rPr>
          <w:rFonts w:hint="eastAsia" w:ascii="宋体" w:hAnsi="宋体" w:eastAsia="宋体" w:cs="宋体"/>
          <w:b/>
          <w:bCs/>
          <w:sz w:val="24"/>
          <w:szCs w:val="24"/>
          <w:highlight w:val="none"/>
          <w:u w:val="single"/>
          <w:lang w:val="en-US" w:eastAsia="zh-CN" w:bidi="ar"/>
        </w:rPr>
        <w:t xml:space="preserve"> 12 </w:t>
      </w:r>
      <w:r>
        <w:rPr>
          <w:rFonts w:hint="eastAsia" w:ascii="宋体" w:hAnsi="宋体" w:eastAsia="宋体" w:cs="宋体"/>
          <w:b/>
          <w:bCs/>
          <w:sz w:val="24"/>
          <w:szCs w:val="24"/>
          <w:highlight w:val="none"/>
          <w:u w:val="single"/>
          <w:lang w:eastAsia="zh-CN" w:bidi="ar"/>
        </w:rPr>
        <w:t>月</w:t>
      </w:r>
      <w:r>
        <w:rPr>
          <w:rFonts w:hint="eastAsia" w:ascii="宋体" w:hAnsi="宋体" w:eastAsia="宋体" w:cs="宋体"/>
          <w:b/>
          <w:bCs/>
          <w:sz w:val="24"/>
          <w:szCs w:val="24"/>
          <w:highlight w:val="none"/>
          <w:u w:val="single"/>
          <w:lang w:val="en-US" w:eastAsia="zh-CN" w:bidi="ar"/>
        </w:rPr>
        <w:t xml:space="preserve"> 24 </w:t>
      </w:r>
      <w:r>
        <w:rPr>
          <w:rFonts w:hint="eastAsia" w:ascii="宋体" w:hAnsi="宋体" w:eastAsia="宋体" w:cs="宋体"/>
          <w:b/>
          <w:bCs/>
          <w:sz w:val="24"/>
          <w:szCs w:val="24"/>
          <w:highlight w:val="none"/>
          <w:u w:val="single"/>
          <w:lang w:eastAsia="zh-CN" w:bidi="ar"/>
        </w:rPr>
        <w:t>日</w:t>
      </w:r>
      <w:r>
        <w:rPr>
          <w:rFonts w:hint="eastAsia" w:ascii="宋体" w:hAnsi="宋体" w:eastAsia="宋体" w:cs="宋体"/>
          <w:b/>
          <w:bCs/>
          <w:sz w:val="24"/>
          <w:szCs w:val="24"/>
          <w:highlight w:val="none"/>
          <w:u w:val="single"/>
          <w:lang w:val="en-US" w:eastAsia="zh-CN" w:bidi="ar"/>
        </w:rPr>
        <w:t xml:space="preserve"> 9 </w:t>
      </w:r>
      <w:r>
        <w:rPr>
          <w:rFonts w:hint="eastAsia" w:ascii="宋体" w:hAnsi="宋体" w:eastAsia="宋体" w:cs="宋体"/>
          <w:b/>
          <w:bCs/>
          <w:sz w:val="24"/>
          <w:szCs w:val="24"/>
          <w:highlight w:val="none"/>
          <w:u w:val="single"/>
          <w:lang w:eastAsia="zh-CN" w:bidi="ar"/>
        </w:rPr>
        <w:t>时</w:t>
      </w:r>
      <w:r>
        <w:rPr>
          <w:rFonts w:hint="eastAsia" w:ascii="宋体" w:hAnsi="宋体" w:eastAsia="宋体" w:cs="宋体"/>
          <w:b/>
          <w:bCs/>
          <w:sz w:val="24"/>
          <w:szCs w:val="24"/>
          <w:highlight w:val="none"/>
          <w:u w:val="single"/>
          <w:lang w:val="en-US" w:eastAsia="zh-CN" w:bidi="ar"/>
        </w:rPr>
        <w:t xml:space="preserve"> 30 </w:t>
      </w:r>
      <w:r>
        <w:rPr>
          <w:rFonts w:hint="eastAsia" w:ascii="宋体" w:hAnsi="宋体" w:eastAsia="宋体" w:cs="宋体"/>
          <w:b/>
          <w:bCs/>
          <w:sz w:val="24"/>
          <w:szCs w:val="24"/>
          <w:highlight w:val="none"/>
          <w:u w:val="single"/>
          <w:lang w:eastAsia="zh-CN" w:bidi="ar"/>
        </w:rPr>
        <w:t>分</w:t>
      </w:r>
      <w:r>
        <w:rPr>
          <w:rFonts w:hint="eastAsia" w:ascii="宋体" w:hAnsi="宋体" w:eastAsia="宋体" w:cs="宋体"/>
          <w:b/>
          <w:bCs/>
          <w:sz w:val="24"/>
          <w:szCs w:val="24"/>
          <w:highlight w:val="none"/>
          <w:u w:val="single"/>
          <w:lang w:val="en-US" w:eastAsia="zh-CN" w:bidi="ar"/>
        </w:rPr>
        <w:t xml:space="preserve"> </w:t>
      </w:r>
    </w:p>
    <w:p w14:paraId="68139F3A">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lang w:eastAsia="zh-CN" w:bidi="ar"/>
        </w:rPr>
      </w:pPr>
      <w:r>
        <w:rPr>
          <w:rFonts w:hint="eastAsia" w:ascii="宋体" w:hAnsi="宋体" w:eastAsia="宋体" w:cs="宋体"/>
          <w:sz w:val="24"/>
          <w:szCs w:val="24"/>
          <w:lang w:bidi="ar"/>
        </w:rPr>
        <w:t>2. 交易地点：</w:t>
      </w:r>
      <w:r>
        <w:rPr>
          <w:rFonts w:hint="eastAsia" w:ascii="宋体" w:hAnsi="宋体" w:eastAsia="宋体" w:cs="宋体"/>
          <w:sz w:val="24"/>
          <w:szCs w:val="24"/>
          <w:lang w:val="en-US" w:eastAsia="zh-CN" w:bidi="ar"/>
        </w:rPr>
        <w:t xml:space="preserve">潜山市槎水镇人民政府 </w:t>
      </w:r>
    </w:p>
    <w:p w14:paraId="2FB5C0D8">
      <w:pPr>
        <w:pStyle w:val="8"/>
        <w:keepNext w:val="0"/>
        <w:keepLines w:val="0"/>
        <w:pageBreakBefore w:val="0"/>
        <w:widowControl/>
        <w:kinsoku w:val="0"/>
        <w:overflowPunct/>
        <w:topLinePunct w:val="0"/>
        <w:autoSpaceDE w:val="0"/>
        <w:autoSpaceDN w:val="0"/>
        <w:bidi w:val="0"/>
        <w:adjustRightInd w:val="0"/>
        <w:snapToGrid w:val="0"/>
        <w:spacing w:before="0" w:beforeAutospacing="0" w:after="0" w:afterAutospacing="0" w:line="540" w:lineRule="exact"/>
        <w:ind w:left="29" w:firstLine="480"/>
        <w:textAlignment w:val="baseline"/>
        <w:rPr>
          <w:rFonts w:ascii="宋体" w:hAnsi="宋体" w:eastAsia="宋体" w:cs="宋体"/>
          <w:szCs w:val="24"/>
          <w:lang w:bidi="ar"/>
        </w:rPr>
      </w:pPr>
      <w:r>
        <w:rPr>
          <w:rFonts w:hint="eastAsia" w:ascii="宋体" w:hAnsi="宋体" w:eastAsia="宋体" w:cs="宋体"/>
          <w:szCs w:val="24"/>
          <w:lang w:val="en-US" w:eastAsia="zh-CN" w:bidi="ar"/>
        </w:rPr>
        <w:t>3</w:t>
      </w:r>
      <w:r>
        <w:rPr>
          <w:rFonts w:hint="eastAsia" w:ascii="宋体" w:hAnsi="宋体" w:eastAsia="宋体" w:cs="宋体"/>
          <w:szCs w:val="24"/>
          <w:lang w:bidi="ar"/>
        </w:rPr>
        <w:t>. 交易规则：固价抽取法</w:t>
      </w:r>
    </w:p>
    <w:p w14:paraId="3BAB0600">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bidi="ar"/>
        </w:rPr>
        <w:t>四、注意事项</w:t>
      </w:r>
    </w:p>
    <w:p w14:paraId="7E332A8D">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bidi="ar"/>
        </w:rPr>
        <w:t>1.参与本项目的投标供应商须已</w:t>
      </w:r>
      <w:r>
        <w:rPr>
          <w:rFonts w:hint="eastAsia" w:ascii="宋体" w:hAnsi="宋体" w:eastAsia="宋体" w:cs="宋体"/>
          <w:sz w:val="24"/>
          <w:szCs w:val="24"/>
          <w:lang w:val="en-US" w:eastAsia="zh-CN" w:bidi="ar"/>
        </w:rPr>
        <w:t>取得潜山市</w:t>
      </w:r>
      <w:r>
        <w:rPr>
          <w:rFonts w:hint="eastAsia" w:ascii="宋体" w:hAnsi="宋体" w:eastAsia="宋体" w:cs="宋体"/>
          <w:sz w:val="24"/>
          <w:szCs w:val="24"/>
          <w:lang w:eastAsia="zh-CN" w:bidi="ar"/>
        </w:rPr>
        <w:t>槎水镇</w:t>
      </w:r>
      <w:r>
        <w:rPr>
          <w:rFonts w:hint="eastAsia" w:ascii="宋体" w:hAnsi="宋体" w:eastAsia="宋体" w:cs="宋体"/>
          <w:sz w:val="24"/>
          <w:szCs w:val="24"/>
          <w:lang w:bidi="ar"/>
        </w:rPr>
        <w:t>限额以下工程建设项目备选承包人入库</w:t>
      </w:r>
      <w:r>
        <w:rPr>
          <w:rFonts w:hint="eastAsia" w:ascii="宋体" w:hAnsi="宋体" w:eastAsia="宋体" w:cs="宋体"/>
          <w:sz w:val="24"/>
          <w:szCs w:val="24"/>
          <w:lang w:val="en-US" w:eastAsia="zh-CN" w:bidi="ar"/>
        </w:rPr>
        <w:t>资格</w:t>
      </w:r>
      <w:r>
        <w:rPr>
          <w:rFonts w:hint="eastAsia" w:ascii="宋体" w:hAnsi="宋体" w:eastAsia="宋体" w:cs="宋体"/>
          <w:sz w:val="24"/>
          <w:szCs w:val="24"/>
          <w:lang w:bidi="ar"/>
        </w:rPr>
        <w:t>。</w:t>
      </w:r>
    </w:p>
    <w:p w14:paraId="319164D8">
      <w:pPr>
        <w:pStyle w:val="30"/>
        <w:keepNext w:val="0"/>
        <w:keepLines w:val="0"/>
        <w:pageBreakBefore w:val="0"/>
        <w:widowControl/>
        <w:tabs>
          <w:tab w:val="left" w:pos="1110"/>
        </w:tabs>
        <w:kinsoku w:val="0"/>
        <w:overflowPunct/>
        <w:topLinePunct w:val="0"/>
        <w:autoSpaceDE w:val="0"/>
        <w:autoSpaceDN w:val="0"/>
        <w:bidi w:val="0"/>
        <w:adjustRightInd w:val="0"/>
        <w:snapToGrid w:val="0"/>
        <w:spacing w:line="540" w:lineRule="exact"/>
        <w:ind w:firstLine="482"/>
        <w:textAlignment w:val="baseline"/>
        <w:rPr>
          <w:rFonts w:hint="eastAsia" w:ascii="宋体" w:hAnsi="宋体" w:eastAsia="宋体" w:cs="宋体"/>
          <w:snapToGrid w:val="0"/>
          <w:color w:val="000000"/>
          <w:sz w:val="24"/>
          <w:szCs w:val="24"/>
          <w:lang w:val="en-US" w:eastAsia="zh-CN" w:bidi="ar"/>
        </w:rPr>
      </w:pPr>
      <w:r>
        <w:rPr>
          <w:rFonts w:hint="eastAsia" w:ascii="宋体" w:hAnsi="宋体" w:eastAsia="宋体" w:cs="宋体"/>
          <w:snapToGrid w:val="0"/>
          <w:color w:val="000000"/>
          <w:sz w:val="24"/>
          <w:szCs w:val="24"/>
          <w:lang w:val="en-US" w:eastAsia="zh-CN" w:bidi="ar"/>
        </w:rPr>
        <w:t>2.报名的时间、地点</w:t>
      </w:r>
    </w:p>
    <w:p w14:paraId="2536ADE1">
      <w:pPr>
        <w:pStyle w:val="5"/>
        <w:keepNext w:val="0"/>
        <w:keepLines w:val="0"/>
        <w:pageBreakBefore w:val="0"/>
        <w:widowControl/>
        <w:kinsoku w:val="0"/>
        <w:overflowPunct/>
        <w:topLinePunct w:val="0"/>
        <w:autoSpaceDE w:val="0"/>
        <w:autoSpaceDN w:val="0"/>
        <w:bidi w:val="0"/>
        <w:adjustRightInd w:val="0"/>
        <w:snapToGrid w:val="0"/>
        <w:spacing w:line="540" w:lineRule="exact"/>
        <w:ind w:firstLine="440" w:firstLineChars="200"/>
        <w:textAlignment w:val="baseline"/>
        <w:rPr>
          <w:rFonts w:cs="宋体" w:asciiTheme="minorEastAsia" w:hAnsiTheme="minorEastAsia" w:eastAsiaTheme="minorEastAsia"/>
          <w:sz w:val="24"/>
          <w:szCs w:val="24"/>
        </w:rPr>
      </w:pPr>
      <w:r>
        <w:rPr>
          <w:rFonts w:hint="default" w:ascii="Calibri" w:hAnsi="Calibri" w:cs="Calibri" w:eastAsiaTheme="minorEastAsia"/>
          <w:sz w:val="22"/>
          <w:szCs w:val="22"/>
        </w:rPr>
        <w:t>①</w:t>
      </w:r>
      <w:r>
        <w:rPr>
          <w:rFonts w:hint="eastAsia" w:cs="宋体" w:asciiTheme="minorEastAsia" w:hAnsiTheme="minorEastAsia" w:eastAsiaTheme="minorEastAsia"/>
          <w:sz w:val="24"/>
          <w:szCs w:val="24"/>
        </w:rPr>
        <w:t>时间：</w:t>
      </w:r>
      <w:r>
        <w:rPr>
          <w:rFonts w:hint="eastAsia" w:cs="宋体" w:asciiTheme="minorEastAsia" w:hAnsiTheme="minorEastAsia" w:eastAsiaTheme="minorEastAsia"/>
          <w:b/>
          <w:sz w:val="24"/>
          <w:szCs w:val="24"/>
          <w:u w:val="single"/>
        </w:rPr>
        <w:t>2024</w:t>
      </w:r>
      <w:r>
        <w:rPr>
          <w:rFonts w:hint="eastAsia" w:cs="宋体" w:asciiTheme="minorEastAsia" w:hAnsiTheme="minorEastAsia" w:eastAsiaTheme="minorEastAsia"/>
          <w:sz w:val="24"/>
          <w:szCs w:val="24"/>
        </w:rPr>
        <w:t>年</w:t>
      </w:r>
      <w:r>
        <w:rPr>
          <w:rFonts w:hint="eastAsia" w:cs="宋体" w:asciiTheme="minorEastAsia" w:hAnsiTheme="minorEastAsia" w:eastAsiaTheme="minorEastAsia"/>
          <w:b/>
          <w:sz w:val="24"/>
          <w:szCs w:val="24"/>
          <w:u w:val="single"/>
          <w:lang w:val="en-US" w:eastAsia="zh-CN"/>
        </w:rPr>
        <w:t xml:space="preserve"> 12 </w:t>
      </w:r>
      <w:r>
        <w:rPr>
          <w:rFonts w:hint="eastAsia" w:cs="宋体" w:asciiTheme="minorEastAsia" w:hAnsiTheme="minorEastAsia" w:eastAsiaTheme="minorEastAsia"/>
          <w:sz w:val="24"/>
          <w:szCs w:val="24"/>
        </w:rPr>
        <w:t>月</w:t>
      </w:r>
      <w:r>
        <w:rPr>
          <w:rFonts w:hint="eastAsia" w:cs="宋体" w:asciiTheme="minorEastAsia" w:hAnsiTheme="minorEastAsia" w:eastAsiaTheme="minorEastAsia"/>
          <w:b/>
          <w:sz w:val="24"/>
          <w:szCs w:val="24"/>
          <w:u w:val="single"/>
          <w:lang w:val="en-US" w:eastAsia="zh-CN"/>
        </w:rPr>
        <w:t xml:space="preserve"> 19 </w:t>
      </w:r>
      <w:r>
        <w:rPr>
          <w:rFonts w:hint="eastAsia" w:cs="宋体" w:asciiTheme="minorEastAsia" w:hAnsiTheme="minorEastAsia" w:eastAsiaTheme="minorEastAsia"/>
          <w:sz w:val="24"/>
          <w:szCs w:val="24"/>
        </w:rPr>
        <w:t>日</w:t>
      </w:r>
      <w:r>
        <w:rPr>
          <w:rFonts w:hint="eastAsia" w:cs="宋体" w:asciiTheme="minorEastAsia" w:hAnsiTheme="minorEastAsia" w:eastAsiaTheme="minorEastAsia"/>
          <w:b/>
          <w:bCs/>
          <w:sz w:val="24"/>
          <w:szCs w:val="24"/>
          <w:u w:val="single"/>
        </w:rPr>
        <w:t>0</w:t>
      </w:r>
      <w:r>
        <w:rPr>
          <w:rFonts w:hint="eastAsia" w:cs="宋体" w:asciiTheme="minorEastAsia" w:hAnsiTheme="minorEastAsia" w:eastAsiaTheme="minorEastAsia"/>
          <w:b/>
          <w:bCs/>
          <w:sz w:val="24"/>
          <w:szCs w:val="24"/>
          <w:u w:val="single"/>
          <w:lang w:val="en-US" w:eastAsia="zh-CN"/>
        </w:rPr>
        <w:t>8</w:t>
      </w:r>
      <w:r>
        <w:rPr>
          <w:rFonts w:hint="eastAsia" w:cs="宋体" w:asciiTheme="minorEastAsia" w:hAnsiTheme="minorEastAsia" w:eastAsiaTheme="minorEastAsia"/>
          <w:sz w:val="24"/>
          <w:szCs w:val="24"/>
        </w:rPr>
        <w:t>时</w:t>
      </w:r>
      <w:r>
        <w:rPr>
          <w:rFonts w:hint="eastAsia" w:cs="宋体" w:asciiTheme="minorEastAsia" w:hAnsiTheme="minorEastAsia" w:eastAsiaTheme="minorEastAsia"/>
          <w:b/>
          <w:bCs/>
          <w:sz w:val="24"/>
          <w:szCs w:val="24"/>
          <w:u w:val="single"/>
        </w:rPr>
        <w:t>00</w:t>
      </w:r>
      <w:r>
        <w:rPr>
          <w:rFonts w:hint="eastAsia" w:cs="宋体" w:asciiTheme="minorEastAsia" w:hAnsiTheme="minorEastAsia" w:eastAsiaTheme="minorEastAsia"/>
          <w:sz w:val="24"/>
          <w:szCs w:val="24"/>
        </w:rPr>
        <w:t>分至</w:t>
      </w:r>
      <w:r>
        <w:rPr>
          <w:rFonts w:hint="eastAsia" w:cs="宋体" w:asciiTheme="minorEastAsia" w:hAnsiTheme="minorEastAsia" w:eastAsiaTheme="minorEastAsia"/>
          <w:b/>
          <w:sz w:val="24"/>
          <w:szCs w:val="24"/>
          <w:u w:val="single"/>
        </w:rPr>
        <w:t>2024</w:t>
      </w:r>
      <w:r>
        <w:rPr>
          <w:rFonts w:hint="eastAsia" w:cs="宋体" w:asciiTheme="minorEastAsia" w:hAnsiTheme="minorEastAsia" w:eastAsiaTheme="minorEastAsia"/>
          <w:sz w:val="24"/>
          <w:szCs w:val="24"/>
        </w:rPr>
        <w:t>年</w:t>
      </w:r>
      <w:r>
        <w:rPr>
          <w:rFonts w:hint="eastAsia" w:cs="宋体" w:asciiTheme="minorEastAsia" w:hAnsiTheme="minorEastAsia" w:eastAsiaTheme="minorEastAsia"/>
          <w:b/>
          <w:sz w:val="24"/>
          <w:szCs w:val="24"/>
          <w:u w:val="single"/>
          <w:lang w:val="en-US" w:eastAsia="zh-CN"/>
        </w:rPr>
        <w:t xml:space="preserve"> 12 </w:t>
      </w:r>
      <w:r>
        <w:rPr>
          <w:rFonts w:hint="eastAsia" w:cs="宋体" w:asciiTheme="minorEastAsia" w:hAnsiTheme="minorEastAsia" w:eastAsiaTheme="minorEastAsia"/>
          <w:sz w:val="24"/>
          <w:szCs w:val="24"/>
        </w:rPr>
        <w:t>月</w:t>
      </w:r>
      <w:r>
        <w:rPr>
          <w:rFonts w:hint="eastAsia" w:cs="宋体" w:asciiTheme="minorEastAsia" w:hAnsiTheme="minorEastAsia" w:eastAsiaTheme="minorEastAsia"/>
          <w:b/>
          <w:sz w:val="24"/>
          <w:szCs w:val="24"/>
          <w:u w:val="single"/>
          <w:lang w:val="en-US" w:eastAsia="zh-CN"/>
        </w:rPr>
        <w:t xml:space="preserve"> 23 </w:t>
      </w:r>
      <w:r>
        <w:rPr>
          <w:rFonts w:hint="eastAsia" w:cs="宋体" w:asciiTheme="minorEastAsia" w:hAnsiTheme="minorEastAsia" w:eastAsiaTheme="minorEastAsia"/>
          <w:sz w:val="24"/>
          <w:szCs w:val="24"/>
        </w:rPr>
        <w:t>日</w:t>
      </w:r>
      <w:r>
        <w:rPr>
          <w:rFonts w:hint="eastAsia" w:cs="宋体" w:asciiTheme="minorEastAsia" w:hAnsiTheme="minorEastAsia" w:eastAsiaTheme="minorEastAsia"/>
          <w:b/>
          <w:bCs/>
          <w:sz w:val="24"/>
          <w:szCs w:val="24"/>
          <w:u w:val="single"/>
        </w:rPr>
        <w:t>17</w:t>
      </w:r>
      <w:r>
        <w:rPr>
          <w:rFonts w:hint="eastAsia" w:cs="宋体" w:asciiTheme="minorEastAsia" w:hAnsiTheme="minorEastAsia" w:eastAsiaTheme="minorEastAsia"/>
          <w:sz w:val="24"/>
          <w:szCs w:val="24"/>
        </w:rPr>
        <w:t>时</w:t>
      </w:r>
      <w:r>
        <w:rPr>
          <w:rFonts w:hint="eastAsia" w:cs="宋体" w:asciiTheme="minorEastAsia" w:hAnsiTheme="minorEastAsia" w:eastAsiaTheme="minorEastAsia"/>
          <w:b/>
          <w:bCs/>
          <w:sz w:val="24"/>
          <w:szCs w:val="24"/>
          <w:u w:val="single"/>
        </w:rPr>
        <w:t>00</w:t>
      </w:r>
      <w:r>
        <w:rPr>
          <w:rFonts w:hint="eastAsia" w:cs="宋体" w:asciiTheme="minorEastAsia" w:hAnsiTheme="minorEastAsia" w:eastAsiaTheme="minorEastAsia"/>
          <w:sz w:val="24"/>
          <w:szCs w:val="24"/>
        </w:rPr>
        <w:t>分止。</w:t>
      </w:r>
      <w:r>
        <w:rPr>
          <w:rFonts w:cs="宋体" w:asciiTheme="minorEastAsia" w:hAnsiTheme="minorEastAsia" w:eastAsiaTheme="minorEastAsia"/>
          <w:sz w:val="24"/>
          <w:szCs w:val="24"/>
        </w:rPr>
        <w:t xml:space="preserve"> </w:t>
      </w:r>
    </w:p>
    <w:p w14:paraId="6476809F">
      <w:pPr>
        <w:pStyle w:val="8"/>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540" w:lineRule="exact"/>
        <w:ind w:right="147" w:firstLine="440" w:firstLineChars="200"/>
        <w:textAlignment w:val="baseline"/>
        <w:rPr>
          <w:rFonts w:hint="eastAsia" w:cs="宋体" w:asciiTheme="minorEastAsia" w:hAnsiTheme="minorEastAsia" w:eastAsiaTheme="minorEastAsia"/>
          <w:b/>
          <w:sz w:val="24"/>
          <w:szCs w:val="24"/>
        </w:rPr>
      </w:pPr>
      <w:r>
        <w:rPr>
          <w:rFonts w:hint="default" w:ascii="Calibri" w:hAnsi="Calibri" w:cs="Calibri" w:eastAsiaTheme="minorEastAsia"/>
          <w:snapToGrid w:val="0"/>
          <w:color w:val="000000"/>
          <w:sz w:val="22"/>
          <w:szCs w:val="22"/>
          <w:lang w:val="en-US" w:eastAsia="zh-CN" w:bidi="ar-SA"/>
        </w:rPr>
        <w:t>②</w:t>
      </w:r>
      <w:r>
        <w:rPr>
          <w:rFonts w:hint="eastAsia" w:cs="宋体" w:asciiTheme="minorEastAsia" w:hAnsiTheme="minorEastAsia" w:eastAsiaTheme="minorEastAsia"/>
          <w:b/>
          <w:sz w:val="24"/>
          <w:szCs w:val="24"/>
        </w:rPr>
        <w:t>地点：安徽中通建设项目管理有限公司（地址：潜山市</w:t>
      </w:r>
      <w:r>
        <w:rPr>
          <w:rFonts w:hint="eastAsia" w:cs="宋体" w:asciiTheme="minorEastAsia" w:hAnsiTheme="minorEastAsia" w:eastAsiaTheme="minorEastAsia"/>
          <w:b/>
          <w:sz w:val="24"/>
          <w:szCs w:val="24"/>
          <w:lang w:val="en-US" w:eastAsia="zh-CN"/>
        </w:rPr>
        <w:t>经济开发区赛杭产业园2栋3楼</w:t>
      </w:r>
      <w:r>
        <w:rPr>
          <w:rFonts w:hint="eastAsia" w:cs="宋体" w:asciiTheme="minorEastAsia" w:hAnsiTheme="minorEastAsia" w:eastAsiaTheme="minorEastAsia"/>
          <w:b/>
          <w:sz w:val="24"/>
          <w:szCs w:val="24"/>
        </w:rPr>
        <w:t>）。</w:t>
      </w:r>
    </w:p>
    <w:p w14:paraId="08A3E490">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40" w:lineRule="exact"/>
        <w:ind w:right="147" w:rightChars="0" w:firstLine="482" w:firstLineChars="0"/>
        <w:textAlignment w:val="baseline"/>
        <w:rPr>
          <w:rFonts w:hint="eastAsia" w:ascii="宋体" w:hAnsi="宋体" w:eastAsia="宋体" w:cs="宋体"/>
          <w:szCs w:val="24"/>
          <w:shd w:val="clear" w:color="auto" w:fill="FFFFFF"/>
          <w:lang w:eastAsia="zh-CN"/>
        </w:rPr>
      </w:pPr>
      <w:r>
        <w:rPr>
          <w:rFonts w:hint="eastAsia" w:ascii="宋体" w:hAnsi="宋体" w:eastAsia="宋体" w:cs="宋体"/>
          <w:snapToGrid w:val="0"/>
          <w:color w:val="000000"/>
          <w:sz w:val="24"/>
          <w:szCs w:val="24"/>
          <w:shd w:val="clear" w:fill="FFFFFF"/>
          <w:lang w:val="en-US" w:eastAsia="zh-CN" w:bidi="ar-SA"/>
        </w:rPr>
        <w:t>3.</w:t>
      </w:r>
      <w:r>
        <w:rPr>
          <w:rFonts w:hint="eastAsia" w:ascii="宋体" w:hAnsi="宋体" w:eastAsia="宋体" w:cs="宋体"/>
          <w:szCs w:val="24"/>
          <w:lang w:bidi="ar"/>
        </w:rPr>
        <w:t>本</w:t>
      </w:r>
      <w:r>
        <w:rPr>
          <w:rFonts w:hint="eastAsia" w:ascii="宋体" w:hAnsi="宋体" w:eastAsia="宋体" w:cs="宋体"/>
          <w:szCs w:val="24"/>
          <w:shd w:val="clear" w:color="auto" w:fill="FFFFFF"/>
        </w:rPr>
        <w:t>项目采取</w:t>
      </w:r>
      <w:r>
        <w:rPr>
          <w:rFonts w:hint="eastAsia" w:ascii="宋体" w:hAnsi="宋体" w:eastAsia="宋体" w:cs="宋体"/>
          <w:szCs w:val="24"/>
          <w:lang w:bidi="ar"/>
        </w:rPr>
        <w:t>公开随机抽取方式</w:t>
      </w:r>
      <w:r>
        <w:rPr>
          <w:rFonts w:hint="eastAsia" w:ascii="宋体" w:hAnsi="宋体" w:eastAsia="宋体" w:cs="宋体"/>
          <w:szCs w:val="24"/>
          <w:shd w:val="clear" w:color="auto" w:fill="FFFFFF"/>
        </w:rPr>
        <w:t>，开标现场抽签程序按以下步骤进行</w:t>
      </w:r>
      <w:r>
        <w:rPr>
          <w:rFonts w:hint="eastAsia" w:ascii="宋体" w:hAnsi="宋体" w:eastAsia="宋体" w:cs="宋体"/>
          <w:szCs w:val="24"/>
          <w:shd w:val="clear" w:color="auto" w:fill="FFFFFF"/>
          <w:lang w:eastAsia="zh-CN"/>
        </w:rPr>
        <w:t>：</w:t>
      </w:r>
    </w:p>
    <w:p w14:paraId="0B04A15A">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40" w:lineRule="exact"/>
        <w:ind w:right="147" w:rightChars="0" w:firstLine="480" w:firstLineChars="200"/>
        <w:textAlignment w:val="baseline"/>
        <w:rPr>
          <w:rFonts w:hint="default"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eastAsia="zh-CN"/>
        </w:rPr>
        <w:t>①</w:t>
      </w:r>
      <w:r>
        <w:rPr>
          <w:rFonts w:hint="eastAsia" w:ascii="宋体" w:hAnsi="宋体" w:eastAsia="宋体" w:cs="宋体"/>
          <w:szCs w:val="24"/>
          <w:shd w:val="clear" w:color="auto" w:fill="FFFFFF"/>
        </w:rPr>
        <w:t>参与抽签的投标供应商代表持法定代表人身份证明或授权委托书原件</w:t>
      </w:r>
      <w:r>
        <w:rPr>
          <w:rFonts w:hint="eastAsia" w:ascii="宋体" w:hAnsi="宋体" w:eastAsia="宋体" w:cs="宋体"/>
          <w:szCs w:val="24"/>
          <w:shd w:val="clear" w:color="auto" w:fill="FFFFFF"/>
          <w:lang w:val="en-US" w:eastAsia="zh-CN"/>
        </w:rPr>
        <w:t>到交易地点现场签到</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lang w:val="en-US" w:eastAsia="zh-CN"/>
        </w:rPr>
        <w:t>按照开标现场签到顺序，逐一抽取本单位抽签编号；</w:t>
      </w:r>
    </w:p>
    <w:p w14:paraId="75A2FFEB">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40" w:lineRule="exact"/>
        <w:ind w:right="147" w:rightChars="0" w:firstLine="480" w:firstLineChars="200"/>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eastAsia="zh-CN"/>
        </w:rPr>
        <w:t>②由招标人代表</w:t>
      </w:r>
      <w:r>
        <w:rPr>
          <w:rFonts w:hint="eastAsia" w:ascii="宋体" w:hAnsi="宋体" w:eastAsia="宋体" w:cs="宋体"/>
          <w:szCs w:val="24"/>
          <w:shd w:val="clear" w:color="auto" w:fill="FFFFFF"/>
        </w:rPr>
        <w:t>在</w:t>
      </w:r>
      <w:r>
        <w:rPr>
          <w:rFonts w:hint="eastAsia" w:ascii="宋体" w:hAnsi="宋体" w:eastAsia="宋体" w:cs="宋体"/>
          <w:szCs w:val="24"/>
          <w:shd w:val="clear" w:color="auto" w:fill="FFFFFF"/>
          <w:lang w:val="en-US" w:eastAsia="zh-CN"/>
        </w:rPr>
        <w:t>开标</w:t>
      </w:r>
      <w:r>
        <w:rPr>
          <w:rFonts w:hint="eastAsia" w:ascii="宋体" w:hAnsi="宋体" w:eastAsia="宋体" w:cs="宋体"/>
          <w:szCs w:val="24"/>
          <w:shd w:val="clear" w:color="auto" w:fill="FFFFFF"/>
        </w:rPr>
        <w:t>现场通过随机抽取方式产生一个号码</w:t>
      </w:r>
      <w:r>
        <w:rPr>
          <w:rFonts w:hint="eastAsia" w:ascii="宋体" w:hAnsi="宋体" w:eastAsia="宋体" w:cs="宋体"/>
          <w:szCs w:val="24"/>
          <w:shd w:val="clear" w:color="auto" w:fill="FFFFFF"/>
          <w:lang w:eastAsia="zh-CN"/>
        </w:rPr>
        <w:t>，投标供应商当次抽签编号与该号码相同的，该投标供应商即为本项目中签人；</w:t>
      </w:r>
    </w:p>
    <w:p w14:paraId="6A3965EE">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40" w:lineRule="exact"/>
        <w:ind w:right="147" w:rightChars="0" w:firstLine="480" w:firstLineChars="200"/>
        <w:textAlignment w:val="baseline"/>
        <w:rPr>
          <w:rFonts w:hint="eastAsia" w:ascii="宋体" w:hAnsi="宋体" w:eastAsia="宋体" w:cs="宋体"/>
          <w:szCs w:val="24"/>
          <w:shd w:val="clear" w:color="auto" w:fill="FFFFFF"/>
        </w:rPr>
      </w:pPr>
      <w:r>
        <w:rPr>
          <w:rFonts w:hint="default" w:ascii="宋体" w:hAnsi="宋体" w:eastAsia="宋体" w:cs="宋体"/>
          <w:szCs w:val="24"/>
          <w:shd w:val="clear" w:color="auto" w:fill="FFFFFF"/>
          <w:lang w:eastAsia="zh-CN"/>
        </w:rPr>
        <w:t>③</w:t>
      </w:r>
      <w:r>
        <w:rPr>
          <w:rFonts w:hint="eastAsia" w:ascii="宋体" w:hAnsi="宋体" w:eastAsia="宋体" w:cs="宋体"/>
          <w:szCs w:val="24"/>
          <w:shd w:val="clear" w:color="auto" w:fill="FFFFFF"/>
          <w:lang w:eastAsia="zh-CN"/>
        </w:rPr>
        <w:t>开标现场由监督人监督。</w:t>
      </w:r>
    </w:p>
    <w:p w14:paraId="0B8C89D0">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40" w:lineRule="exact"/>
        <w:ind w:left="0" w:leftChars="0" w:right="147" w:rightChars="0" w:firstLine="482" w:firstLineChars="0"/>
        <w:textAlignment w:val="baseline"/>
        <w:rPr>
          <w:rFonts w:ascii="宋体" w:hAnsi="宋体" w:eastAsia="宋体" w:cs="宋体"/>
          <w:szCs w:val="24"/>
        </w:rPr>
      </w:pPr>
      <w:r>
        <w:rPr>
          <w:rFonts w:ascii="宋体" w:hAnsi="宋体" w:eastAsia="宋体" w:cs="宋体"/>
          <w:snapToGrid w:val="0"/>
          <w:color w:val="000000"/>
          <w:sz w:val="24"/>
          <w:szCs w:val="24"/>
          <w:lang w:val="en-US" w:eastAsia="zh-CN" w:bidi="ar-SA"/>
        </w:rPr>
        <w:t>4.</w:t>
      </w:r>
      <w:r>
        <w:rPr>
          <w:rFonts w:hint="eastAsia" w:ascii="宋体" w:hAnsi="宋体" w:eastAsia="宋体" w:cs="宋体"/>
          <w:szCs w:val="24"/>
          <w:shd w:val="clear" w:color="auto" w:fill="FFFFFF"/>
        </w:rPr>
        <w:t>如投标供应商愿意参与，</w:t>
      </w:r>
      <w:r>
        <w:rPr>
          <w:rFonts w:hint="eastAsia" w:ascii="宋体" w:hAnsi="宋体" w:eastAsia="宋体" w:cs="宋体"/>
          <w:szCs w:val="24"/>
          <w:lang w:bidi="ar"/>
        </w:rPr>
        <w:t>在</w:t>
      </w:r>
      <w:r>
        <w:rPr>
          <w:rFonts w:hint="eastAsia" w:ascii="宋体" w:hAnsi="宋体" w:eastAsia="宋体" w:cs="宋体"/>
          <w:szCs w:val="24"/>
          <w:lang w:val="en-US" w:eastAsia="zh-CN" w:bidi="ar"/>
        </w:rPr>
        <w:t>报名时间</w:t>
      </w:r>
      <w:r>
        <w:rPr>
          <w:rFonts w:hint="eastAsia" w:ascii="宋体" w:hAnsi="宋体" w:eastAsia="宋体" w:cs="宋体"/>
          <w:szCs w:val="24"/>
          <w:lang w:bidi="ar"/>
        </w:rPr>
        <w:t>截止</w:t>
      </w:r>
      <w:r>
        <w:rPr>
          <w:rFonts w:hint="eastAsia" w:ascii="宋体" w:hAnsi="宋体" w:eastAsia="宋体" w:cs="宋体"/>
          <w:szCs w:val="24"/>
          <w:lang w:val="en-US" w:eastAsia="zh-CN" w:bidi="ar"/>
        </w:rPr>
        <w:t>前</w:t>
      </w:r>
      <w:r>
        <w:rPr>
          <w:rFonts w:hint="eastAsia" w:ascii="宋体" w:hAnsi="宋体" w:eastAsia="宋体" w:cs="宋体"/>
          <w:szCs w:val="24"/>
          <w:shd w:val="clear" w:color="auto" w:fill="FFFFFF"/>
        </w:rPr>
        <w:t>持法定代表人身份证明或授权委托书原件、经办人身份证原件及其复印件</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lang w:val="en-US" w:eastAsia="zh-CN"/>
        </w:rPr>
        <w:t>资质证书复印件、安全生产许可证复印件、拟派项目经理建造师证书复印件</w:t>
      </w:r>
      <w:r>
        <w:rPr>
          <w:rFonts w:hint="eastAsia" w:ascii="宋体" w:hAnsi="宋体" w:eastAsia="宋体" w:cs="宋体"/>
          <w:szCs w:val="24"/>
          <w:shd w:val="clear" w:color="auto" w:fill="FFFFFF"/>
        </w:rPr>
        <w:t>到安徽中通建设项目管理有限公司办理</w:t>
      </w:r>
      <w:r>
        <w:rPr>
          <w:rFonts w:hint="eastAsia" w:ascii="宋体" w:hAnsi="宋体" w:eastAsia="宋体" w:cs="宋体"/>
          <w:szCs w:val="24"/>
          <w:shd w:val="clear" w:color="auto" w:fill="FFFFFF"/>
          <w:lang w:val="en-US" w:eastAsia="zh-CN"/>
        </w:rPr>
        <w:t>报名</w:t>
      </w:r>
      <w:r>
        <w:rPr>
          <w:rFonts w:hint="eastAsia" w:ascii="宋体" w:hAnsi="宋体" w:eastAsia="宋体" w:cs="宋体"/>
          <w:szCs w:val="24"/>
          <w:shd w:val="clear" w:color="auto" w:fill="FFFFFF"/>
          <w:lang w:eastAsia="zh-CN"/>
        </w:rPr>
        <w:t>。逾期递交报名资料或未按交易公告要求报名的，招标人及委托的代理机构不予受理。</w:t>
      </w:r>
    </w:p>
    <w:p w14:paraId="2677A371">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val="en-US" w:eastAsia="zh-CN" w:bidi="ar"/>
        </w:rPr>
        <w:t>5</w:t>
      </w:r>
      <w:r>
        <w:rPr>
          <w:rFonts w:hint="eastAsia" w:ascii="宋体" w:hAnsi="宋体" w:eastAsia="宋体" w:cs="宋体"/>
          <w:sz w:val="24"/>
          <w:szCs w:val="24"/>
          <w:lang w:bidi="ar"/>
        </w:rPr>
        <w:t>.本项目的成交结果公示将在</w:t>
      </w:r>
      <w:r>
        <w:rPr>
          <w:rFonts w:hint="eastAsia" w:ascii="宋体" w:hAnsi="宋体" w:eastAsia="宋体" w:cs="宋体"/>
          <w:sz w:val="24"/>
          <w:szCs w:val="24"/>
          <w:lang w:val="en-US" w:eastAsia="zh-CN" w:bidi="ar"/>
        </w:rPr>
        <w:t>潜山市人民政府、安徽中通建设项目管理有限公司</w:t>
      </w:r>
      <w:r>
        <w:rPr>
          <w:rFonts w:hint="eastAsia" w:ascii="宋体" w:hAnsi="宋体" w:eastAsia="宋体" w:cs="宋体"/>
          <w:sz w:val="24"/>
          <w:szCs w:val="24"/>
          <w:lang w:bidi="ar"/>
        </w:rPr>
        <w:t>网站发布。</w:t>
      </w:r>
    </w:p>
    <w:p w14:paraId="7F704C0F">
      <w:pPr>
        <w:pStyle w:val="8"/>
        <w:keepNext w:val="0"/>
        <w:keepLines w:val="0"/>
        <w:pageBreakBefore w:val="0"/>
        <w:widowControl/>
        <w:kinsoku w:val="0"/>
        <w:overflowPunct/>
        <w:topLinePunct w:val="0"/>
        <w:autoSpaceDE w:val="0"/>
        <w:autoSpaceDN w:val="0"/>
        <w:bidi w:val="0"/>
        <w:adjustRightInd w:val="0"/>
        <w:snapToGrid w:val="0"/>
        <w:spacing w:before="0" w:beforeAutospacing="0" w:after="0" w:afterAutospacing="0" w:line="540" w:lineRule="exact"/>
        <w:ind w:firstLine="480"/>
        <w:textAlignment w:val="baseline"/>
        <w:rPr>
          <w:rFonts w:ascii="宋体" w:hAnsi="宋体" w:eastAsia="宋体" w:cs="宋体"/>
          <w:szCs w:val="24"/>
        </w:rPr>
      </w:pPr>
      <w:r>
        <w:rPr>
          <w:rFonts w:hint="eastAsia" w:ascii="宋体" w:hAnsi="宋体" w:eastAsia="宋体" w:cs="宋体"/>
          <w:szCs w:val="24"/>
          <w:shd w:val="clear" w:color="auto" w:fill="FFFFFF"/>
          <w:lang w:val="en-US" w:eastAsia="zh-CN"/>
        </w:rPr>
        <w:t>6</w:t>
      </w:r>
      <w:r>
        <w:rPr>
          <w:rFonts w:hint="eastAsia" w:ascii="宋体" w:hAnsi="宋体" w:eastAsia="宋体" w:cs="宋体"/>
          <w:szCs w:val="24"/>
          <w:shd w:val="clear" w:color="auto" w:fill="FFFFFF"/>
        </w:rPr>
        <w:t>.中签人拟派的项目经理必须是安徽省公共资源交易市场主体库备案人员。中签人及拟派的项目经理注册建造师相关信息须能在安徽省住房和城乡建设行业公共信息查询中心（核查网址：http://dohurd.ah.gov.cn/site/tpl/9321）公开查询。</w:t>
      </w:r>
      <w:r>
        <w:rPr>
          <w:rFonts w:hint="eastAsia" w:ascii="宋体" w:hAnsi="宋体" w:eastAsia="宋体" w:cs="宋体"/>
          <w:szCs w:val="24"/>
        </w:rPr>
        <w:t>各投标人应合理安排本单位项目负责人参与报名，不得选取有在建的项目负责人重复参与报名。</w:t>
      </w:r>
    </w:p>
    <w:p w14:paraId="2234B5A2">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val="en-US" w:eastAsia="zh-CN" w:bidi="ar"/>
        </w:rPr>
        <w:t>7</w:t>
      </w:r>
      <w:r>
        <w:rPr>
          <w:rFonts w:hint="eastAsia" w:ascii="宋体" w:hAnsi="宋体" w:eastAsia="宋体" w:cs="宋体"/>
          <w:sz w:val="24"/>
          <w:szCs w:val="24"/>
          <w:lang w:bidi="ar"/>
        </w:rPr>
        <w:t>.本项目由项目单位</w:t>
      </w:r>
      <w:r>
        <w:rPr>
          <w:rFonts w:hint="eastAsia" w:ascii="宋体" w:hAnsi="宋体" w:eastAsia="宋体" w:cs="宋体"/>
          <w:b/>
          <w:bCs/>
          <w:sz w:val="24"/>
          <w:szCs w:val="24"/>
          <w:lang w:eastAsia="zh-CN" w:bidi="ar"/>
        </w:rPr>
        <w:t>潜山市槎水镇万全村村民委员会</w:t>
      </w:r>
      <w:r>
        <w:rPr>
          <w:rFonts w:hint="eastAsia" w:ascii="宋体" w:hAnsi="宋体" w:eastAsia="宋体" w:cs="宋体"/>
          <w:sz w:val="24"/>
          <w:szCs w:val="24"/>
          <w:lang w:bidi="ar"/>
        </w:rPr>
        <w:t>自主选择</w:t>
      </w:r>
      <w:r>
        <w:rPr>
          <w:rFonts w:hint="eastAsia" w:ascii="宋体" w:hAnsi="宋体" w:eastAsia="宋体" w:cs="宋体"/>
          <w:sz w:val="24"/>
          <w:szCs w:val="24"/>
          <w:lang w:val="en-US" w:eastAsia="zh-CN" w:bidi="ar"/>
        </w:rPr>
        <w:t>预发包</w:t>
      </w:r>
      <w:r>
        <w:rPr>
          <w:rFonts w:hint="eastAsia" w:ascii="宋体" w:hAnsi="宋体" w:eastAsia="宋体" w:cs="宋体"/>
          <w:sz w:val="24"/>
          <w:szCs w:val="24"/>
          <w:lang w:bidi="ar"/>
        </w:rPr>
        <w:t>。项目单位将严格落实项目单位主体责任，履行相应职责，遵守相关规定，对项目报件、预算控制、清单控制价编制、交易公告、异议答复、成交公示、成交供应商资格后审、投诉处理、交易成交（或失败）、合同履约、项目验收、评价等全过程交易活动及环节负责。</w:t>
      </w:r>
    </w:p>
    <w:p w14:paraId="2E1C66D4">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val="en-US" w:eastAsia="zh-CN" w:bidi="ar"/>
        </w:rPr>
        <w:t>8</w:t>
      </w:r>
      <w:r>
        <w:rPr>
          <w:rFonts w:hint="eastAsia" w:ascii="宋体" w:hAnsi="宋体" w:eastAsia="宋体" w:cs="宋体"/>
          <w:sz w:val="24"/>
          <w:szCs w:val="24"/>
          <w:lang w:bidi="ar"/>
        </w:rPr>
        <w:t>.请本项目拟参与供应商自行核对本项目的最高投标限价，如有异议和投诉，请在交易前书面提出，项目单位将组织复查。如复查结论与原公布的最高投标限价误差超过±3%的，项目单位将进行修正，如误差在±3%以内的，项目单位可不予调整。拟参与供应商在规定时间内未提出异议的，中标后，项目单位不接受成交供应商对此提出的任何质疑，不因此而调整合同价，拟参与供应商应当按照成交价完成交易公告和项目需求规定的所有工程项目。</w:t>
      </w:r>
    </w:p>
    <w:p w14:paraId="5E6C27D9">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ascii="宋体" w:hAnsi="宋体" w:eastAsia="宋体" w:cs="宋体"/>
          <w:sz w:val="24"/>
          <w:szCs w:val="24"/>
          <w:lang w:bidi="ar"/>
        </w:rPr>
      </w:pPr>
      <w:r>
        <w:rPr>
          <w:rFonts w:hint="eastAsia" w:ascii="宋体" w:hAnsi="宋体" w:eastAsia="宋体" w:cs="宋体"/>
          <w:sz w:val="24"/>
          <w:szCs w:val="24"/>
          <w:lang w:bidi="ar"/>
        </w:rPr>
        <w:t>五、联系方式</w:t>
      </w:r>
    </w:p>
    <w:p w14:paraId="37681A6B">
      <w:pPr>
        <w:keepNext w:val="0"/>
        <w:keepLines w:val="0"/>
        <w:pageBreakBefore w:val="0"/>
        <w:widowControl/>
        <w:kinsoku w:val="0"/>
        <w:overflowPunct/>
        <w:topLinePunct w:val="0"/>
        <w:autoSpaceDE w:val="0"/>
        <w:autoSpaceDN w:val="0"/>
        <w:bidi w:val="0"/>
        <w:adjustRightInd w:val="0"/>
        <w:snapToGrid w:val="0"/>
        <w:spacing w:line="540" w:lineRule="exact"/>
        <w:jc w:val="both"/>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bidi="ar"/>
        </w:rPr>
        <w:t>业主单位：</w:t>
      </w:r>
      <w:r>
        <w:rPr>
          <w:rFonts w:hint="eastAsia" w:ascii="宋体" w:hAnsi="宋体" w:eastAsia="宋体" w:cs="宋体"/>
          <w:sz w:val="24"/>
          <w:szCs w:val="24"/>
          <w:lang w:eastAsia="zh-CN" w:bidi="ar"/>
        </w:rPr>
        <w:t>潜山市槎水镇万全村村民委员会</w:t>
      </w:r>
    </w:p>
    <w:p w14:paraId="47302E15">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hint="eastAsia" w:ascii="宋体" w:hAnsi="宋体" w:eastAsia="宋体"/>
          <w:color w:val="000000" w:themeColor="text1"/>
          <w:sz w:val="24"/>
          <w:lang w:val="en-US" w:eastAsia="zh-CN"/>
          <w14:textFill>
            <w14:solidFill>
              <w14:schemeClr w14:val="tx1"/>
            </w14:solidFill>
          </w14:textFill>
        </w:rPr>
      </w:pPr>
      <w:r>
        <w:rPr>
          <w:rFonts w:hint="eastAsia" w:ascii="宋体" w:hAnsi="宋体" w:eastAsia="宋体" w:cs="宋体"/>
          <w:sz w:val="24"/>
          <w:szCs w:val="24"/>
          <w:lang w:bidi="ar"/>
        </w:rPr>
        <w:t>地址：</w:t>
      </w:r>
      <w:r>
        <w:rPr>
          <w:rFonts w:hint="eastAsia" w:ascii="宋体" w:hAnsi="宋体" w:eastAsia="宋体"/>
          <w:color w:val="000000" w:themeColor="text1"/>
          <w:sz w:val="24"/>
          <w:lang w:eastAsia="zh-CN"/>
          <w14:textFill>
            <w14:solidFill>
              <w14:schemeClr w14:val="tx1"/>
            </w14:solidFill>
          </w14:textFill>
        </w:rPr>
        <w:t>潜山市槎水镇</w:t>
      </w:r>
      <w:r>
        <w:rPr>
          <w:rFonts w:hint="eastAsia" w:ascii="宋体" w:hAnsi="宋体" w:eastAsia="宋体"/>
          <w:color w:val="000000" w:themeColor="text1"/>
          <w:sz w:val="24"/>
          <w:lang w:val="en-US" w:eastAsia="zh-CN"/>
          <w14:textFill>
            <w14:solidFill>
              <w14:schemeClr w14:val="tx1"/>
            </w14:solidFill>
          </w14:textFill>
        </w:rPr>
        <w:t>万全村</w:t>
      </w:r>
    </w:p>
    <w:p w14:paraId="32AF564A">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hint="default" w:ascii="宋体" w:hAnsi="宋体" w:eastAsia="宋体" w:cs="宋体"/>
          <w:sz w:val="24"/>
          <w:szCs w:val="24"/>
          <w:highlight w:val="none"/>
          <w:lang w:val="en-US" w:bidi="ar"/>
        </w:rPr>
      </w:pPr>
      <w:r>
        <w:rPr>
          <w:rFonts w:hint="eastAsia" w:ascii="宋体" w:hAnsi="宋体" w:eastAsia="宋体" w:cs="宋体"/>
          <w:sz w:val="24"/>
          <w:szCs w:val="24"/>
          <w:lang w:bidi="ar"/>
        </w:rPr>
        <w:t>联</w:t>
      </w:r>
      <w:r>
        <w:rPr>
          <w:rFonts w:hint="eastAsia" w:ascii="宋体" w:hAnsi="宋体" w:eastAsia="宋体" w:cs="宋体"/>
          <w:sz w:val="24"/>
          <w:szCs w:val="24"/>
          <w:highlight w:val="none"/>
          <w:lang w:bidi="ar"/>
        </w:rPr>
        <w:t>系人</w:t>
      </w:r>
      <w:r>
        <w:rPr>
          <w:rFonts w:hint="eastAsia" w:ascii="宋体" w:hAnsi="宋体" w:eastAsia="宋体" w:cs="宋体"/>
          <w:sz w:val="24"/>
          <w:szCs w:val="24"/>
          <w:highlight w:val="none"/>
          <w:lang w:eastAsia="zh-CN" w:bidi="ar"/>
        </w:rPr>
        <w:t>：</w:t>
      </w:r>
      <w:r>
        <w:rPr>
          <w:rFonts w:hint="eastAsia" w:ascii="宋体" w:hAnsi="宋体" w:eastAsia="宋体" w:cs="宋体"/>
          <w:sz w:val="24"/>
          <w:szCs w:val="24"/>
          <w:highlight w:val="none"/>
          <w:lang w:val="en-US" w:eastAsia="zh-CN" w:bidi="ar"/>
        </w:rPr>
        <w:t>余先生</w:t>
      </w:r>
    </w:p>
    <w:p w14:paraId="10BEBA63">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hint="eastAsia" w:ascii="宋体" w:hAnsi="宋体" w:eastAsia="宋体" w:cs="宋体"/>
          <w:sz w:val="24"/>
          <w:szCs w:val="24"/>
          <w:highlight w:val="none"/>
          <w:lang w:val="en-US" w:eastAsia="zh-CN" w:bidi="ar"/>
        </w:rPr>
      </w:pPr>
      <w:r>
        <w:rPr>
          <w:rFonts w:hint="eastAsia" w:ascii="宋体" w:hAnsi="宋体" w:eastAsia="宋体" w:cs="宋体"/>
          <w:sz w:val="24"/>
          <w:szCs w:val="24"/>
          <w:highlight w:val="none"/>
          <w:lang w:bidi="ar"/>
        </w:rPr>
        <w:t>电话：14790615212</w:t>
      </w:r>
      <w:r>
        <w:rPr>
          <w:rFonts w:hint="eastAsia" w:ascii="宋体" w:hAnsi="宋体" w:eastAsia="宋体" w:cs="宋体"/>
          <w:sz w:val="24"/>
          <w:szCs w:val="24"/>
          <w:highlight w:val="none"/>
          <w:lang w:val="en-US" w:eastAsia="zh-CN" w:bidi="ar"/>
        </w:rPr>
        <w:t xml:space="preserve"> </w:t>
      </w:r>
    </w:p>
    <w:p w14:paraId="5C23CA81">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hint="eastAsia" w:ascii="宋体" w:hAnsi="宋体" w:eastAsia="宋体" w:cs="宋体"/>
          <w:sz w:val="24"/>
          <w:szCs w:val="24"/>
          <w:lang w:eastAsia="zh-CN" w:bidi="ar"/>
        </w:rPr>
      </w:pPr>
      <w:r>
        <w:rPr>
          <w:rFonts w:hint="eastAsia" w:ascii="宋体" w:hAnsi="宋体" w:eastAsia="宋体" w:cs="宋体"/>
          <w:sz w:val="24"/>
          <w:szCs w:val="24"/>
          <w:lang w:bidi="ar"/>
        </w:rPr>
        <w:t>代理机构：</w:t>
      </w:r>
      <w:r>
        <w:rPr>
          <w:rFonts w:hint="eastAsia" w:ascii="宋体" w:hAnsi="宋体" w:eastAsia="宋体" w:cs="宋体"/>
          <w:sz w:val="24"/>
          <w:szCs w:val="24"/>
          <w:lang w:eastAsia="zh-CN" w:bidi="ar"/>
        </w:rPr>
        <w:t>安徽中通建设项目管理有限公司</w:t>
      </w:r>
    </w:p>
    <w:p w14:paraId="4FF1D9BA">
      <w:pPr>
        <w:keepNext w:val="0"/>
        <w:keepLines w:val="0"/>
        <w:pageBreakBefore w:val="0"/>
        <w:widowControl/>
        <w:kinsoku w:val="0"/>
        <w:overflowPunct/>
        <w:topLinePunct w:val="0"/>
        <w:autoSpaceDE w:val="0"/>
        <w:autoSpaceDN w:val="0"/>
        <w:bidi w:val="0"/>
        <w:adjustRightInd w:val="0"/>
        <w:snapToGrid w:val="0"/>
        <w:spacing w:line="540" w:lineRule="exact"/>
        <w:ind w:left="4961" w:hanging="4960" w:hangingChars="2067"/>
        <w:textAlignment w:val="baseline"/>
        <w:rPr>
          <w:rFonts w:hint="eastAsia" w:ascii="宋体" w:hAnsi="宋体" w:eastAsia="宋体" w:cs="宋体"/>
          <w:snapToGrid/>
          <w:sz w:val="24"/>
          <w:szCs w:val="24"/>
          <w:shd w:val="clear" w:color="auto" w:fill="FFFFFF"/>
          <w:lang w:val="en-US" w:eastAsia="zh-CN"/>
        </w:rPr>
      </w:pPr>
      <w:r>
        <w:rPr>
          <w:rFonts w:hint="eastAsia" w:ascii="宋体" w:hAnsi="宋体" w:eastAsia="宋体" w:cs="宋体"/>
          <w:sz w:val="24"/>
          <w:szCs w:val="24"/>
          <w:lang w:bidi="ar"/>
        </w:rPr>
        <w:t>地址：安徽省安庆市潜山市经济开发区八一路0188号6幢301室</w:t>
      </w:r>
    </w:p>
    <w:p w14:paraId="3C40EE92">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hint="default" w:ascii="宋体" w:hAnsi="宋体" w:eastAsia="宋体" w:cs="宋体"/>
          <w:sz w:val="24"/>
          <w:szCs w:val="24"/>
          <w:lang w:val="en-US" w:eastAsia="zh-CN" w:bidi="ar"/>
        </w:rPr>
      </w:pPr>
      <w:r>
        <w:rPr>
          <w:rFonts w:hint="eastAsia" w:ascii="宋体" w:hAnsi="宋体" w:eastAsia="宋体" w:cs="宋体"/>
          <w:sz w:val="24"/>
          <w:szCs w:val="24"/>
          <w:lang w:bidi="ar"/>
        </w:rPr>
        <w:t>联系人：</w:t>
      </w:r>
      <w:r>
        <w:rPr>
          <w:rFonts w:hint="eastAsia" w:ascii="宋体" w:hAnsi="宋体" w:eastAsia="宋体" w:cs="宋体"/>
          <w:sz w:val="24"/>
          <w:szCs w:val="24"/>
          <w:lang w:eastAsia="zh-CN" w:bidi="ar"/>
        </w:rPr>
        <w:t>汪</w:t>
      </w:r>
      <w:r>
        <w:rPr>
          <w:rFonts w:hint="eastAsia" w:ascii="宋体" w:hAnsi="宋体" w:eastAsia="宋体"/>
          <w:color w:val="000000" w:themeColor="text1"/>
          <w:sz w:val="24"/>
          <w:lang w:val="en-US" w:eastAsia="zh-CN"/>
          <w14:textFill>
            <w14:solidFill>
              <w14:schemeClr w14:val="tx1"/>
            </w14:solidFill>
          </w14:textFill>
        </w:rPr>
        <w:t>女士</w:t>
      </w:r>
    </w:p>
    <w:p w14:paraId="7E724D6F">
      <w:pPr>
        <w:keepNext w:val="0"/>
        <w:keepLines w:val="0"/>
        <w:pageBreakBefore w:val="0"/>
        <w:widowControl/>
        <w:kinsoku w:val="0"/>
        <w:overflowPunct/>
        <w:topLinePunct w:val="0"/>
        <w:autoSpaceDE w:val="0"/>
        <w:autoSpaceDN w:val="0"/>
        <w:bidi w:val="0"/>
        <w:adjustRightInd w:val="0"/>
        <w:snapToGrid w:val="0"/>
        <w:spacing w:line="540" w:lineRule="exact"/>
        <w:jc w:val="both"/>
        <w:textAlignment w:val="baseline"/>
        <w:rPr>
          <w:rFonts w:hint="default" w:ascii="宋体" w:hAnsi="宋体" w:eastAsia="宋体" w:cs="宋体"/>
          <w:sz w:val="24"/>
          <w:szCs w:val="24"/>
          <w:lang w:val="en-US" w:eastAsia="zh-CN" w:bidi="ar"/>
        </w:rPr>
      </w:pPr>
      <w:r>
        <w:rPr>
          <w:rFonts w:hint="eastAsia" w:ascii="宋体" w:hAnsi="宋体" w:eastAsia="宋体" w:cs="宋体"/>
          <w:sz w:val="24"/>
          <w:szCs w:val="24"/>
          <w:lang w:bidi="ar"/>
        </w:rPr>
        <w:t>电话：</w:t>
      </w:r>
      <w:r>
        <w:rPr>
          <w:rFonts w:hint="eastAsia" w:ascii="宋体" w:hAnsi="宋体" w:eastAsia="宋体"/>
          <w:color w:val="000000" w:themeColor="text1"/>
          <w:sz w:val="24"/>
          <w:lang w:val="en-US" w:eastAsia="zh-CN"/>
          <w14:textFill>
            <w14:solidFill>
              <w14:schemeClr w14:val="tx1"/>
            </w14:solidFill>
          </w14:textFill>
        </w:rPr>
        <w:t>13485876999</w:t>
      </w:r>
    </w:p>
    <w:p w14:paraId="0FC14027">
      <w:pPr>
        <w:spacing w:line="360" w:lineRule="auto"/>
        <w:jc w:val="right"/>
        <w:rPr>
          <w:rFonts w:hint="eastAsia" w:ascii="宋体" w:hAnsi="宋体" w:eastAsia="宋体" w:cs="宋体"/>
          <w:sz w:val="24"/>
          <w:szCs w:val="24"/>
          <w:lang w:bidi="ar"/>
        </w:rPr>
      </w:pPr>
    </w:p>
    <w:p w14:paraId="19E54FC3">
      <w:pPr>
        <w:spacing w:line="360" w:lineRule="auto"/>
        <w:jc w:val="right"/>
        <w:rPr>
          <w:rFonts w:hint="eastAsia" w:ascii="宋体" w:hAnsi="宋体" w:eastAsia="宋体" w:cs="宋体"/>
          <w:sz w:val="24"/>
          <w:szCs w:val="24"/>
          <w:lang w:bidi="ar"/>
        </w:rPr>
      </w:pPr>
      <w:r>
        <w:rPr>
          <w:rFonts w:hint="eastAsia" w:ascii="宋体" w:hAnsi="宋体" w:eastAsia="宋体" w:cs="宋体"/>
          <w:sz w:val="24"/>
          <w:szCs w:val="24"/>
          <w:lang w:bidi="ar"/>
        </w:rPr>
        <w:t>                                </w:t>
      </w:r>
    </w:p>
    <w:p w14:paraId="7F32ACC0">
      <w:pPr>
        <w:spacing w:line="360" w:lineRule="auto"/>
        <w:jc w:val="right"/>
        <w:rPr>
          <w:rFonts w:hint="eastAsia" w:ascii="宋体" w:hAnsi="宋体" w:eastAsia="宋体" w:cs="宋体"/>
          <w:sz w:val="24"/>
          <w:szCs w:val="24"/>
          <w:lang w:bidi="ar"/>
        </w:rPr>
      </w:pPr>
    </w:p>
    <w:p w14:paraId="41875DF7">
      <w:pPr>
        <w:spacing w:line="520" w:lineRule="exact"/>
        <w:ind w:firstLine="480" w:firstLineChars="200"/>
        <w:jc w:val="center"/>
        <w:rPr>
          <w:rFonts w:ascii="宋体" w:hAnsi="宋体" w:eastAsia="宋体" w:cs="宋体"/>
          <w:sz w:val="24"/>
          <w:szCs w:val="24"/>
        </w:rPr>
      </w:pPr>
    </w:p>
    <w:p w14:paraId="71A47F88">
      <w:pPr>
        <w:pStyle w:val="9"/>
        <w:ind w:firstLine="0" w:firstLineChars="0"/>
        <w:rPr>
          <w:rFonts w:ascii="宋体" w:hAnsi="宋体" w:eastAsia="宋体" w:cs="宋体"/>
          <w:sz w:val="24"/>
          <w:szCs w:val="24"/>
        </w:rPr>
      </w:pPr>
    </w:p>
    <w:p w14:paraId="72CD8000">
      <w:pPr>
        <w:rPr>
          <w:rFonts w:hint="eastAsia" w:ascii="宋体" w:hAnsi="宋体" w:eastAsia="宋体" w:cs="宋体"/>
          <w:sz w:val="32"/>
          <w:szCs w:val="32"/>
        </w:rPr>
      </w:pPr>
      <w:r>
        <w:rPr>
          <w:rFonts w:hint="eastAsia" w:ascii="宋体" w:hAnsi="宋体" w:eastAsia="宋体" w:cs="宋体"/>
          <w:sz w:val="32"/>
          <w:szCs w:val="32"/>
        </w:rPr>
        <w:br w:type="page"/>
      </w:r>
    </w:p>
    <w:p w14:paraId="50BCEB8C">
      <w:pPr>
        <w:spacing w:line="520" w:lineRule="exact"/>
        <w:ind w:firstLine="640" w:firstLineChars="200"/>
        <w:jc w:val="center"/>
        <w:rPr>
          <w:rFonts w:hint="eastAsia" w:ascii="宋体" w:hAnsi="宋体" w:eastAsia="宋体" w:cs="宋体"/>
          <w:sz w:val="32"/>
          <w:szCs w:val="32"/>
        </w:rPr>
      </w:pPr>
      <w:r>
        <w:rPr>
          <w:rFonts w:hint="eastAsia" w:ascii="宋体" w:hAnsi="宋体" w:eastAsia="宋体" w:cs="宋体"/>
          <w:sz w:val="32"/>
          <w:szCs w:val="32"/>
        </w:rPr>
        <w:t>项目需求</w:t>
      </w:r>
    </w:p>
    <w:p w14:paraId="20E5EB0D">
      <w:pPr>
        <w:pStyle w:val="2"/>
        <w:keepNext w:val="0"/>
        <w:keepLines w:val="0"/>
        <w:pageBreakBefore w:val="0"/>
        <w:widowControl/>
        <w:kinsoku w:val="0"/>
        <w:wordWrap/>
        <w:overflowPunct/>
        <w:topLinePunct w:val="0"/>
        <w:autoSpaceDE w:val="0"/>
        <w:autoSpaceDN w:val="0"/>
        <w:bidi w:val="0"/>
        <w:adjustRightInd w:val="0"/>
        <w:snapToGrid w:val="0"/>
        <w:spacing w:after="0" w:line="240" w:lineRule="exact"/>
        <w:textAlignment w:val="baseline"/>
      </w:pPr>
    </w:p>
    <w:p w14:paraId="6677A4A0">
      <w:pPr>
        <w:keepNext w:val="0"/>
        <w:keepLines w:val="0"/>
        <w:pageBreakBefore w:val="0"/>
        <w:widowControl/>
        <w:wordWrap/>
        <w:overflowPunct/>
        <w:topLinePunct w:val="0"/>
        <w:bidi w:val="0"/>
        <w:adjustRightInd w:val="0"/>
        <w:snapToGrid w:val="0"/>
        <w:spacing w:line="48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rPr>
        <w:t>项目名称：</w:t>
      </w:r>
      <w:r>
        <w:rPr>
          <w:rFonts w:hint="eastAsia" w:ascii="宋体" w:hAnsi="宋体" w:eastAsia="宋体" w:cs="宋体"/>
          <w:b/>
          <w:bCs/>
          <w:sz w:val="24"/>
          <w:szCs w:val="24"/>
          <w:lang w:eastAsia="zh-CN"/>
        </w:rPr>
        <w:t>2024年乐龙路万全陈岭段水毁工程项目</w:t>
      </w:r>
    </w:p>
    <w:p w14:paraId="059BE8A0">
      <w:pPr>
        <w:keepNext w:val="0"/>
        <w:keepLines w:val="0"/>
        <w:pageBreakBefore w:val="0"/>
        <w:widowControl/>
        <w:wordWrap/>
        <w:overflowPunct/>
        <w:topLinePunct w:val="0"/>
        <w:bidi w:val="0"/>
        <w:adjustRightInd w:val="0"/>
        <w:snapToGrid w:val="0"/>
        <w:spacing w:line="480" w:lineRule="exact"/>
        <w:ind w:firstLine="482" w:firstLineChars="200"/>
        <w:rPr>
          <w:rFonts w:hint="default" w:ascii="宋体" w:hAnsi="宋体" w:eastAsia="宋体" w:cs="宋体"/>
          <w:b/>
          <w:bCs/>
          <w:sz w:val="24"/>
          <w:szCs w:val="24"/>
          <w:lang w:val="en-US" w:eastAsia="zh-CN"/>
        </w:rPr>
      </w:pPr>
      <w:r>
        <w:rPr>
          <w:rFonts w:hint="eastAsia" w:ascii="宋体" w:hAnsi="宋体" w:eastAsia="宋体" w:cs="宋体"/>
          <w:b/>
          <w:bCs/>
          <w:sz w:val="24"/>
          <w:szCs w:val="24"/>
        </w:rPr>
        <w:t>项目编号</w:t>
      </w:r>
      <w:r>
        <w:rPr>
          <w:rFonts w:hint="eastAsia" w:ascii="宋体" w:hAnsi="宋体" w:eastAsia="宋体" w:cs="宋体"/>
          <w:b/>
          <w:bCs/>
          <w:sz w:val="24"/>
          <w:szCs w:val="24"/>
          <w:lang w:val="en-US" w:eastAsia="zh-CN"/>
        </w:rPr>
        <w:t>：皖H4-2024-006（ZT）</w:t>
      </w:r>
    </w:p>
    <w:p w14:paraId="509195A0">
      <w:pPr>
        <w:keepNext w:val="0"/>
        <w:keepLines w:val="0"/>
        <w:pageBreakBefore w:val="0"/>
        <w:widowControl/>
        <w:wordWrap/>
        <w:overflowPunct/>
        <w:topLinePunct w:val="0"/>
        <w:bidi w:val="0"/>
        <w:adjustRightInd w:val="0"/>
        <w:snapToGrid w:val="0"/>
        <w:spacing w:line="480" w:lineRule="exact"/>
        <w:ind w:firstLine="482" w:firstLineChars="200"/>
        <w:rPr>
          <w:rFonts w:hint="eastAsia" w:ascii="宋体" w:hAnsi="宋体" w:eastAsia="宋体" w:cs="宋体"/>
          <w:sz w:val="24"/>
          <w:szCs w:val="24"/>
          <w:lang w:eastAsia="zh-CN"/>
        </w:rPr>
      </w:pPr>
      <w:r>
        <w:rPr>
          <w:rFonts w:hint="eastAsia" w:ascii="宋体" w:hAnsi="宋体" w:eastAsia="宋体" w:cs="宋体"/>
          <w:b/>
          <w:bCs/>
          <w:sz w:val="24"/>
          <w:szCs w:val="24"/>
        </w:rPr>
        <w:t>项目单位：</w:t>
      </w:r>
      <w:r>
        <w:rPr>
          <w:rFonts w:hint="eastAsia" w:ascii="宋体" w:hAnsi="宋体" w:eastAsia="宋体" w:cs="宋体"/>
          <w:b/>
          <w:bCs/>
          <w:sz w:val="24"/>
          <w:szCs w:val="24"/>
          <w:highlight w:val="none"/>
          <w:lang w:eastAsia="zh-CN" w:bidi="ar"/>
        </w:rPr>
        <w:t>潜山市槎水镇万全村村民委员会</w:t>
      </w:r>
    </w:p>
    <w:p w14:paraId="2E2943F1">
      <w:pPr>
        <w:keepNext w:val="0"/>
        <w:keepLines w:val="0"/>
        <w:pageBreakBefore w:val="0"/>
        <w:widowControl/>
        <w:numPr>
          <w:ilvl w:val="0"/>
          <w:numId w:val="0"/>
        </w:numPr>
        <w:wordWrap/>
        <w:overflowPunct/>
        <w:topLinePunct w:val="0"/>
        <w:bidi w:val="0"/>
        <w:adjustRightInd w:val="0"/>
        <w:snapToGrid w:val="0"/>
        <w:spacing w:line="480" w:lineRule="exact"/>
        <w:ind w:firstLine="482" w:firstLineChars="200"/>
        <w:rPr>
          <w:rFonts w:hint="eastAsia" w:ascii="宋体" w:hAnsi="宋体" w:eastAsia="宋体" w:cs="宋体"/>
          <w:b w:val="0"/>
          <w:bCs w:val="0"/>
          <w:sz w:val="24"/>
          <w:szCs w:val="24"/>
          <w:highlight w:val="none"/>
          <w:lang w:bidi="ar"/>
        </w:rPr>
      </w:pPr>
      <w:r>
        <w:rPr>
          <w:rFonts w:hint="eastAsia" w:ascii="宋体" w:hAnsi="宋体" w:eastAsia="宋体" w:cs="宋体"/>
          <w:b/>
          <w:bCs/>
          <w:sz w:val="24"/>
          <w:szCs w:val="24"/>
        </w:rPr>
        <w:t>最高投</w:t>
      </w:r>
      <w:r>
        <w:rPr>
          <w:rFonts w:hint="eastAsia" w:ascii="宋体" w:hAnsi="宋体" w:eastAsia="宋体" w:cs="宋体"/>
          <w:b/>
          <w:bCs/>
          <w:sz w:val="24"/>
          <w:szCs w:val="24"/>
          <w:lang w:eastAsia="zh-CN"/>
        </w:rPr>
        <w:t>标限价：144510.48元，</w:t>
      </w:r>
      <w:r>
        <w:rPr>
          <w:rFonts w:hint="eastAsia" w:ascii="宋体" w:hAnsi="宋体" w:eastAsia="宋体" w:cs="宋体"/>
          <w:b w:val="0"/>
          <w:bCs w:val="0"/>
          <w:sz w:val="24"/>
          <w:szCs w:val="24"/>
          <w:lang w:eastAsia="zh-CN"/>
        </w:rPr>
        <w:t>详见后附最高投标限价</w:t>
      </w:r>
      <w:r>
        <w:rPr>
          <w:rFonts w:hint="eastAsia" w:ascii="宋体" w:hAnsi="宋体" w:eastAsia="宋体" w:cs="宋体"/>
          <w:b w:val="0"/>
          <w:bCs w:val="0"/>
          <w:sz w:val="24"/>
          <w:szCs w:val="24"/>
          <w:highlight w:val="none"/>
          <w:lang w:bidi="ar"/>
        </w:rPr>
        <w:t>。</w:t>
      </w:r>
    </w:p>
    <w:p w14:paraId="6CEE04C6">
      <w:pPr>
        <w:keepNext w:val="0"/>
        <w:keepLines w:val="0"/>
        <w:pageBreakBefore w:val="0"/>
        <w:widowControl/>
        <w:numPr>
          <w:ilvl w:val="0"/>
          <w:numId w:val="0"/>
        </w:numPr>
        <w:wordWrap/>
        <w:overflowPunct/>
        <w:topLinePunct w:val="0"/>
        <w:bidi w:val="0"/>
        <w:adjustRightInd w:val="0"/>
        <w:snapToGrid w:val="0"/>
        <w:spacing w:line="480" w:lineRule="exact"/>
        <w:ind w:firstLine="482" w:firstLineChars="200"/>
        <w:rPr>
          <w:rFonts w:ascii="宋体" w:hAnsi="宋体" w:eastAsia="宋体" w:cs="宋体"/>
          <w:sz w:val="24"/>
          <w:szCs w:val="24"/>
        </w:rPr>
      </w:pPr>
      <w:r>
        <w:rPr>
          <w:rFonts w:hint="eastAsia" w:ascii="宋体" w:hAnsi="宋体" w:eastAsia="宋体" w:cs="宋体"/>
          <w:b/>
          <w:bCs/>
          <w:sz w:val="24"/>
          <w:szCs w:val="24"/>
        </w:rPr>
        <w:t>招标范围：</w:t>
      </w:r>
      <w:r>
        <w:rPr>
          <w:rFonts w:hint="eastAsia" w:ascii="宋体" w:hAnsi="宋体" w:eastAsia="宋体" w:cs="宋体"/>
          <w:sz w:val="24"/>
          <w:szCs w:val="24"/>
        </w:rPr>
        <w:t>工程量清单列示的全部内容。</w:t>
      </w:r>
    </w:p>
    <w:p w14:paraId="7F2CF01C">
      <w:pPr>
        <w:keepNext w:val="0"/>
        <w:keepLines w:val="0"/>
        <w:pageBreakBefore w:val="0"/>
        <w:widowControl/>
        <w:wordWrap/>
        <w:overflowPunct/>
        <w:topLinePunct w:val="0"/>
        <w:bidi w:val="0"/>
        <w:adjustRightInd w:val="0"/>
        <w:snapToGrid w:val="0"/>
        <w:spacing w:line="480" w:lineRule="exact"/>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rPr>
        <w:t>付款方式（支付进度）：经发包人和监理单位审定后，工程完工后</w:t>
      </w:r>
      <w:r>
        <w:rPr>
          <w:rFonts w:hint="eastAsia" w:ascii="宋体" w:hAnsi="宋体" w:eastAsia="宋体" w:cs="宋体"/>
          <w:b/>
          <w:bCs/>
          <w:sz w:val="24"/>
          <w:szCs w:val="24"/>
          <w:lang w:val="en-US" w:eastAsia="zh-CN"/>
        </w:rPr>
        <w:t>根据上级保险理赔资金及衔接资金安排</w:t>
      </w:r>
      <w:r>
        <w:rPr>
          <w:rFonts w:hint="eastAsia" w:ascii="宋体" w:hAnsi="宋体" w:eastAsia="宋体" w:cs="宋体"/>
          <w:b/>
          <w:bCs/>
          <w:sz w:val="24"/>
          <w:szCs w:val="24"/>
        </w:rPr>
        <w:t>全部到位后付至合同价款的85%，待审计(核)后，付至审 (计)核价款的100%(扣除之前已付款)。(付款前承包人需向发包人指定账户缴纳合同价款（审计价）3%的质保金，工程缺陷责任期满后无任何质量问题30日内一次返还(不计利息))</w:t>
      </w:r>
      <w:r>
        <w:rPr>
          <w:rFonts w:hint="eastAsia" w:ascii="宋体" w:hAnsi="宋体" w:eastAsia="宋体" w:cs="宋体"/>
          <w:b/>
          <w:bCs/>
          <w:sz w:val="24"/>
          <w:szCs w:val="24"/>
          <w:lang w:val="en-US" w:eastAsia="zh-CN"/>
        </w:rPr>
        <w:t>（工程质量保证金保函保险有效期与缺陷责任期截止时间保持一致）。工程质量保证金的形式可为银行保函、担保保函、保证保险等非现金形式。</w:t>
      </w:r>
      <w:bookmarkStart w:id="2" w:name="_GoBack"/>
      <w:bookmarkEnd w:id="2"/>
    </w:p>
    <w:p w14:paraId="57A1ADAA">
      <w:pPr>
        <w:keepNext w:val="0"/>
        <w:keepLines w:val="0"/>
        <w:pageBreakBefore w:val="0"/>
        <w:widowControl/>
        <w:wordWrap/>
        <w:overflowPunct/>
        <w:topLinePunct w:val="0"/>
        <w:bidi w:val="0"/>
        <w:adjustRightInd w:val="0"/>
        <w:snapToGrid w:val="0"/>
        <w:spacing w:line="480" w:lineRule="exact"/>
        <w:ind w:firstLine="482" w:firstLineChars="200"/>
        <w:rPr>
          <w:rFonts w:ascii="宋体" w:hAnsi="宋体" w:eastAsia="宋体" w:cs="宋体"/>
          <w:sz w:val="24"/>
          <w:szCs w:val="24"/>
        </w:rPr>
      </w:pPr>
      <w:r>
        <w:rPr>
          <w:rFonts w:hint="eastAsia" w:ascii="宋体" w:hAnsi="宋体" w:eastAsia="宋体" w:cs="宋体"/>
          <w:b/>
          <w:bCs/>
          <w:sz w:val="24"/>
          <w:szCs w:val="24"/>
        </w:rPr>
        <w:t>工程质量</w:t>
      </w:r>
      <w:r>
        <w:rPr>
          <w:rFonts w:hint="eastAsia" w:ascii="宋体" w:hAnsi="宋体" w:eastAsia="宋体" w:cs="宋体"/>
          <w:sz w:val="24"/>
          <w:szCs w:val="24"/>
        </w:rPr>
        <w:t>：达到国家相关施工验收规范合格标准</w:t>
      </w:r>
    </w:p>
    <w:p w14:paraId="417D0630">
      <w:pPr>
        <w:keepNext w:val="0"/>
        <w:keepLines w:val="0"/>
        <w:pageBreakBefore w:val="0"/>
        <w:widowControl/>
        <w:wordWrap/>
        <w:overflowPunct/>
        <w:topLinePunct w:val="0"/>
        <w:bidi w:val="0"/>
        <w:adjustRightInd w:val="0"/>
        <w:snapToGrid w:val="0"/>
        <w:spacing w:line="480" w:lineRule="exact"/>
        <w:ind w:firstLine="482" w:firstLineChars="200"/>
        <w:rPr>
          <w:rFonts w:ascii="宋体" w:hAnsi="宋体" w:eastAsia="宋体" w:cs="宋体"/>
          <w:sz w:val="24"/>
          <w:szCs w:val="24"/>
        </w:rPr>
      </w:pPr>
      <w:r>
        <w:rPr>
          <w:rFonts w:hint="eastAsia" w:ascii="宋体" w:hAnsi="宋体" w:eastAsia="宋体" w:cs="宋体"/>
          <w:b/>
          <w:bCs/>
          <w:sz w:val="24"/>
          <w:szCs w:val="24"/>
        </w:rPr>
        <w:t>计划工期：</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val="0"/>
          <w:bCs w:val="0"/>
          <w:sz w:val="24"/>
          <w:szCs w:val="24"/>
          <w:u w:val="single"/>
          <w:lang w:val="en-US" w:eastAsia="zh-CN"/>
        </w:rPr>
        <w:t xml:space="preserve">45 </w:t>
      </w:r>
      <w:r>
        <w:rPr>
          <w:rFonts w:hint="eastAsia" w:ascii="宋体" w:hAnsi="宋体" w:eastAsia="宋体" w:cs="宋体"/>
          <w:sz w:val="24"/>
          <w:szCs w:val="24"/>
          <w:lang w:val="en-US" w:eastAsia="zh-CN"/>
        </w:rPr>
        <w:t>日历天</w:t>
      </w:r>
    </w:p>
    <w:p w14:paraId="6D5A4F52">
      <w:pPr>
        <w:keepNext w:val="0"/>
        <w:keepLines w:val="0"/>
        <w:pageBreakBefore w:val="0"/>
        <w:widowControl/>
        <w:wordWrap/>
        <w:overflowPunct/>
        <w:topLinePunct w:val="0"/>
        <w:bidi w:val="0"/>
        <w:adjustRightInd w:val="0"/>
        <w:snapToGrid w:val="0"/>
        <w:spacing w:line="480" w:lineRule="exact"/>
        <w:ind w:firstLine="482" w:firstLineChars="200"/>
        <w:rPr>
          <w:rFonts w:ascii="宋体" w:hAnsi="宋体" w:eastAsia="宋体" w:cs="宋体"/>
          <w:sz w:val="24"/>
          <w:szCs w:val="24"/>
        </w:rPr>
      </w:pPr>
      <w:r>
        <w:rPr>
          <w:rFonts w:hint="eastAsia" w:ascii="宋体" w:hAnsi="宋体" w:eastAsia="宋体" w:cs="宋体"/>
          <w:b/>
          <w:bCs/>
          <w:sz w:val="24"/>
          <w:szCs w:val="24"/>
        </w:rPr>
        <w:t>缺陷责任期：</w:t>
      </w:r>
      <w:r>
        <w:rPr>
          <w:rFonts w:hint="eastAsia" w:ascii="宋体" w:hAnsi="宋体" w:eastAsia="宋体" w:cs="宋体"/>
          <w:b/>
          <w:bCs/>
          <w:sz w:val="24"/>
          <w:szCs w:val="24"/>
          <w:u w:val="single"/>
          <w:lang w:val="en-US" w:eastAsia="zh-CN"/>
        </w:rPr>
        <w:t xml:space="preserve"> </w:t>
      </w:r>
      <w:r>
        <w:rPr>
          <w:rFonts w:hint="eastAsia" w:ascii="宋体" w:hAnsi="宋体" w:eastAsia="宋体" w:cs="宋体"/>
          <w:sz w:val="24"/>
          <w:szCs w:val="24"/>
          <w:u w:val="single"/>
          <w:lang w:val="en-US" w:eastAsia="zh-CN"/>
        </w:rPr>
        <w:t xml:space="preserve">12 </w:t>
      </w:r>
      <w:r>
        <w:rPr>
          <w:rFonts w:hint="eastAsia" w:ascii="宋体" w:hAnsi="宋体" w:eastAsia="宋体" w:cs="宋体"/>
          <w:sz w:val="24"/>
          <w:szCs w:val="24"/>
        </w:rPr>
        <w:t>个月</w:t>
      </w:r>
    </w:p>
    <w:p w14:paraId="1F98FA06">
      <w:pPr>
        <w:keepNext w:val="0"/>
        <w:keepLines w:val="0"/>
        <w:pageBreakBefore w:val="0"/>
        <w:widowControl/>
        <w:wordWrap/>
        <w:overflowPunct/>
        <w:topLinePunct w:val="0"/>
        <w:bidi w:val="0"/>
        <w:adjustRightInd w:val="0"/>
        <w:snapToGrid w:val="0"/>
        <w:spacing w:line="480" w:lineRule="exact"/>
        <w:ind w:firstLine="482" w:firstLineChars="200"/>
        <w:rPr>
          <w:rFonts w:hint="eastAsia" w:ascii="宋体" w:hAnsi="宋体" w:eastAsia="宋体" w:cs="宋体"/>
          <w:sz w:val="24"/>
          <w:szCs w:val="24"/>
          <w:lang w:eastAsia="zh-CN"/>
        </w:rPr>
      </w:pPr>
      <w:r>
        <w:rPr>
          <w:rFonts w:hint="eastAsia" w:ascii="宋体" w:hAnsi="宋体" w:eastAsia="宋体" w:cs="宋体"/>
          <w:b/>
          <w:bCs/>
          <w:sz w:val="24"/>
          <w:szCs w:val="24"/>
        </w:rPr>
        <w:t>综合下浮率：</w:t>
      </w:r>
      <w:r>
        <w:rPr>
          <w:rFonts w:hint="eastAsia" w:ascii="宋体" w:hAnsi="宋体" w:eastAsia="宋体" w:cs="宋体"/>
          <w:b/>
          <w:bCs/>
          <w:sz w:val="24"/>
          <w:szCs w:val="24"/>
          <w:u w:val="single"/>
          <w:lang w:val="en-US" w:eastAsia="zh-CN"/>
        </w:rPr>
        <w:t xml:space="preserve"> 10 </w:t>
      </w:r>
      <w:r>
        <w:rPr>
          <w:rFonts w:hint="eastAsia" w:ascii="宋体" w:hAnsi="宋体" w:eastAsia="宋体" w:cs="宋体"/>
          <w:sz w:val="24"/>
          <w:szCs w:val="24"/>
          <w:lang w:val="en-US" w:eastAsia="zh-CN"/>
        </w:rPr>
        <w:t>%</w:t>
      </w:r>
    </w:p>
    <w:p w14:paraId="6D8DAA50">
      <w:pPr>
        <w:keepNext w:val="0"/>
        <w:keepLines w:val="0"/>
        <w:pageBreakBefore w:val="0"/>
        <w:widowControl/>
        <w:wordWrap/>
        <w:overflowPunct/>
        <w:topLinePunct w:val="0"/>
        <w:bidi w:val="0"/>
        <w:adjustRightInd w:val="0"/>
        <w:snapToGrid w:val="0"/>
        <w:spacing w:line="480" w:lineRule="exact"/>
        <w:ind w:firstLine="482" w:firstLineChars="200"/>
        <w:rPr>
          <w:rFonts w:ascii="宋体" w:hAnsi="宋体" w:eastAsia="宋体" w:cs="宋体"/>
          <w:sz w:val="24"/>
          <w:szCs w:val="24"/>
        </w:rPr>
      </w:pPr>
      <w:r>
        <w:rPr>
          <w:rFonts w:hint="eastAsia" w:ascii="宋体" w:hAnsi="宋体" w:eastAsia="宋体" w:cs="宋体"/>
          <w:b/>
          <w:bCs/>
          <w:sz w:val="24"/>
          <w:szCs w:val="24"/>
        </w:rPr>
        <w:t>成交合同价（固定报价）：</w:t>
      </w:r>
      <w:r>
        <w:rPr>
          <w:rFonts w:hint="eastAsia" w:ascii="宋体" w:hAnsi="宋体" w:eastAsia="宋体" w:cs="宋体"/>
          <w:b/>
          <w:bCs/>
          <w:sz w:val="24"/>
          <w:szCs w:val="24"/>
          <w:u w:val="single"/>
          <w:lang w:val="en-US" w:eastAsia="zh-CN"/>
        </w:rPr>
        <w:t xml:space="preserve"> 130447.04</w:t>
      </w:r>
      <w:r>
        <w:rPr>
          <w:rFonts w:hint="eastAsia" w:ascii="宋体" w:hAnsi="宋体" w:eastAsia="宋体" w:cs="宋体"/>
          <w:b/>
          <w:bCs/>
          <w:sz w:val="24"/>
          <w:szCs w:val="24"/>
          <w:u w:val="single"/>
        </w:rPr>
        <w:t>元</w:t>
      </w:r>
    </w:p>
    <w:p w14:paraId="6D5CA69C">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一、项目部关键岗位人员到岗及履约最低要求</w:t>
      </w:r>
    </w:p>
    <w:p w14:paraId="40B5FB6A">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1.项目经理：同时具备下列① 、② 、③要求：</w:t>
      </w:r>
    </w:p>
    <w:p w14:paraId="557CE649">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①具有</w:t>
      </w:r>
      <w:r>
        <w:rPr>
          <w:rFonts w:hint="eastAsia" w:ascii="宋体" w:hAnsi="宋体" w:eastAsia="宋体" w:cs="宋体"/>
          <w:b/>
          <w:bCs/>
          <w:sz w:val="24"/>
          <w:szCs w:val="24"/>
          <w:highlight w:val="none"/>
          <w:lang w:bidi="ar"/>
        </w:rPr>
        <w:t>公路工程专业二级（或以上）</w:t>
      </w:r>
      <w:r>
        <w:rPr>
          <w:rFonts w:hint="eastAsia" w:ascii="宋体" w:hAnsi="宋体" w:eastAsia="宋体" w:cs="宋体"/>
          <w:sz w:val="24"/>
          <w:szCs w:val="24"/>
          <w:highlight w:val="none"/>
          <w:lang w:bidi="ar"/>
        </w:rPr>
        <w:t>注册建造师执业资格；</w:t>
      </w:r>
    </w:p>
    <w:p w14:paraId="1EA0BBA6">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②取得交通运输主管部门颁发的安全生产考核合格证B证；</w:t>
      </w:r>
    </w:p>
    <w:p w14:paraId="5A2EBFF9">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③投标截止日未在其他项目担任项目经理，或虽在其他项目上担任项目经理岗位，但承诺在本项目中标后合同签订（</w:t>
      </w:r>
      <w:r>
        <w:rPr>
          <w:rFonts w:hint="eastAsia" w:ascii="宋体" w:hAnsi="宋体" w:eastAsia="宋体" w:cs="宋体"/>
          <w:b/>
          <w:bCs/>
          <w:sz w:val="24"/>
          <w:szCs w:val="24"/>
          <w:highlight w:val="none"/>
          <w:lang w:bidi="ar"/>
        </w:rPr>
        <w:t>合同签订在法定时间为数据电文中标通知书发放之日起30日内</w:t>
      </w:r>
      <w:r>
        <w:rPr>
          <w:rFonts w:hint="eastAsia" w:ascii="宋体" w:hAnsi="宋体" w:eastAsia="宋体" w:cs="宋体"/>
          <w:sz w:val="24"/>
          <w:szCs w:val="24"/>
          <w:highlight w:val="none"/>
          <w:lang w:bidi="ar"/>
        </w:rPr>
        <w:t>）前能够从其他项目变更至本项目并全面履约。</w:t>
      </w:r>
    </w:p>
    <w:p w14:paraId="3B2A95ED">
      <w:pPr>
        <w:keepNext w:val="0"/>
        <w:keepLines w:val="0"/>
        <w:pageBreakBefore w:val="0"/>
        <w:widowControl/>
        <w:numPr>
          <w:ilvl w:val="0"/>
          <w:numId w:val="0"/>
        </w:numPr>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ascii="宋体" w:hAnsi="宋体" w:eastAsia="宋体" w:cs="宋体"/>
          <w:snapToGrid w:val="0"/>
          <w:color w:val="000000"/>
          <w:sz w:val="24"/>
          <w:szCs w:val="24"/>
          <w:lang w:val="en-US" w:eastAsia="zh-CN" w:bidi="ar-SA"/>
        </w:rPr>
        <w:t>2.</w:t>
      </w:r>
      <w:r>
        <w:rPr>
          <w:rFonts w:hint="eastAsia" w:ascii="宋体" w:hAnsi="宋体" w:eastAsia="宋体" w:cs="宋体"/>
          <w:sz w:val="24"/>
          <w:szCs w:val="24"/>
        </w:rPr>
        <w:t>成交供应商在开工前组建的施工项目管理机构，要符合行政主管部门及安徽省相关标准规定。</w:t>
      </w:r>
    </w:p>
    <w:p w14:paraId="0405C73D">
      <w:pPr>
        <w:keepNext w:val="0"/>
        <w:keepLines w:val="0"/>
        <w:pageBreakBefore w:val="0"/>
        <w:widowControl/>
        <w:numPr>
          <w:ilvl w:val="0"/>
          <w:numId w:val="0"/>
        </w:numPr>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ascii="宋体" w:hAnsi="宋体" w:eastAsia="宋体" w:cs="宋体"/>
          <w:snapToGrid w:val="0"/>
          <w:color w:val="000000"/>
          <w:sz w:val="24"/>
          <w:szCs w:val="24"/>
          <w:lang w:val="en-US" w:eastAsia="zh-CN" w:bidi="ar-SA"/>
        </w:rPr>
        <w:t>3.</w:t>
      </w:r>
      <w:r>
        <w:rPr>
          <w:rFonts w:hint="eastAsia" w:ascii="宋体" w:hAnsi="宋体" w:eastAsia="宋体" w:cs="宋体"/>
          <w:sz w:val="24"/>
          <w:szCs w:val="24"/>
        </w:rPr>
        <w:t>成交供应商报派本项目的项目经理、项目部关键岗位其他人员等在整个项目施工期内必须在岗，否则发包人有权终止合同。由此造成的损失，成交供应商自行承担并赔偿可能给项目单位造成的损失。</w:t>
      </w:r>
    </w:p>
    <w:p w14:paraId="7F31CD37">
      <w:pPr>
        <w:keepNext w:val="0"/>
        <w:keepLines w:val="0"/>
        <w:pageBreakBefore w:val="0"/>
        <w:widowControl/>
        <w:numPr>
          <w:ilvl w:val="0"/>
          <w:numId w:val="0"/>
        </w:numPr>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ascii="宋体" w:hAnsi="宋体" w:eastAsia="宋体" w:cs="宋体"/>
          <w:snapToGrid w:val="0"/>
          <w:color w:val="000000"/>
          <w:sz w:val="24"/>
          <w:szCs w:val="24"/>
          <w:lang w:val="en-US" w:eastAsia="zh-CN" w:bidi="ar-SA"/>
        </w:rPr>
        <w:t>4.</w:t>
      </w:r>
      <w:r>
        <w:rPr>
          <w:rFonts w:hint="eastAsia" w:ascii="宋体" w:hAnsi="宋体" w:eastAsia="宋体" w:cs="宋体"/>
          <w:sz w:val="24"/>
          <w:szCs w:val="24"/>
        </w:rPr>
        <w:t>成交供应商不得擅自更换签订交易时所报项目经理、以及签订合同时确定的项目部关键岗位其他人员。</w:t>
      </w:r>
    </w:p>
    <w:p w14:paraId="357B87D6">
      <w:pPr>
        <w:keepNext w:val="0"/>
        <w:keepLines w:val="0"/>
        <w:pageBreakBefore w:val="0"/>
        <w:widowControl/>
        <w:numPr>
          <w:ilvl w:val="0"/>
          <w:numId w:val="0"/>
        </w:numPr>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ascii="宋体" w:hAnsi="宋体" w:eastAsia="宋体" w:cs="宋体"/>
          <w:snapToGrid w:val="0"/>
          <w:color w:val="000000"/>
          <w:sz w:val="24"/>
          <w:szCs w:val="24"/>
          <w:lang w:val="en-US" w:eastAsia="zh-CN" w:bidi="ar-SA"/>
        </w:rPr>
        <w:t>5.</w:t>
      </w:r>
      <w:r>
        <w:rPr>
          <w:rFonts w:hint="eastAsia" w:ascii="宋体" w:hAnsi="宋体" w:eastAsia="宋体" w:cs="宋体"/>
          <w:sz w:val="24"/>
          <w:szCs w:val="24"/>
        </w:rPr>
        <w:t>成交供应商未能按照承诺到岗尽职的，发包人将视情况严重程度对其作出相应处理。</w:t>
      </w:r>
    </w:p>
    <w:p w14:paraId="37CB0CF3">
      <w:pPr>
        <w:keepNext w:val="0"/>
        <w:keepLines w:val="0"/>
        <w:pageBreakBefore w:val="0"/>
        <w:widowControl/>
        <w:tabs>
          <w:tab w:val="left" w:pos="284"/>
        </w:tabs>
        <w:wordWrap/>
        <w:overflowPunct/>
        <w:topLinePunct w:val="0"/>
        <w:bidi w:val="0"/>
        <w:adjustRightInd w:val="0"/>
        <w:snapToGrid w:val="0"/>
        <w:spacing w:line="48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二、履约担保、农民工工资保障金要求</w:t>
      </w:r>
    </w:p>
    <w:p w14:paraId="52965990">
      <w:pPr>
        <w:keepNext w:val="0"/>
        <w:keepLines w:val="0"/>
        <w:pageBreakBefore w:val="0"/>
        <w:widowControl/>
        <w:tabs>
          <w:tab w:val="left" w:pos="284"/>
        </w:tabs>
        <w:wordWrap/>
        <w:overflowPunct/>
        <w:topLinePunct w:val="0"/>
        <w:bidi w:val="0"/>
        <w:adjustRightInd w:val="0"/>
        <w:snapToGrid w:val="0"/>
        <w:spacing w:line="480" w:lineRule="exact"/>
        <w:ind w:firstLine="480" w:firstLineChars="200"/>
        <w:rPr>
          <w:rFonts w:ascii="宋体" w:hAnsi="宋体" w:cs="宋体"/>
          <w:bCs/>
          <w:color w:val="000000" w:themeColor="text1"/>
          <w:kern w:val="0"/>
          <w:sz w:val="24"/>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1</w:t>
      </w:r>
      <w:r>
        <w:rPr>
          <w:rFonts w:hint="eastAsia" w:ascii="宋体" w:hAnsi="宋体" w:cs="宋体"/>
          <w:bCs/>
          <w:color w:val="000000" w:themeColor="text1"/>
          <w:kern w:val="0"/>
          <w:sz w:val="24"/>
          <w14:textFill>
            <w14:solidFill>
              <w14:schemeClr w14:val="tx1"/>
            </w14:solidFill>
          </w14:textFill>
        </w:rPr>
        <w:t>.保证数额：履约保证金</w:t>
      </w:r>
      <w:r>
        <w:rPr>
          <w:rFonts w:hint="eastAsia" w:ascii="宋体" w:hAnsi="宋体" w:eastAsia="宋体" w:cs="宋体"/>
          <w:bCs/>
          <w:color w:val="000000" w:themeColor="text1"/>
          <w:kern w:val="0"/>
          <w:sz w:val="24"/>
          <w:lang w:eastAsia="zh-CN"/>
          <w14:textFill>
            <w14:solidFill>
              <w14:schemeClr w14:val="tx1"/>
            </w14:solidFill>
          </w14:textFill>
        </w:rPr>
        <w:t>：</w:t>
      </w:r>
      <w:r>
        <w:rPr>
          <w:rFonts w:hint="eastAsia" w:ascii="宋体" w:hAnsi="宋体" w:eastAsia="宋体" w:cs="宋体"/>
          <w:b/>
          <w:bCs w:val="0"/>
          <w:color w:val="000000" w:themeColor="text1"/>
          <w:kern w:val="0"/>
          <w:sz w:val="24"/>
          <w:lang w:eastAsia="zh-CN"/>
          <w14:textFill>
            <w14:solidFill>
              <w14:schemeClr w14:val="tx1"/>
            </w14:solidFill>
          </w14:textFill>
        </w:rPr>
        <w:t>本项目免收</w:t>
      </w:r>
      <w:r>
        <w:rPr>
          <w:rFonts w:hint="eastAsia" w:ascii="宋体" w:hAnsi="宋体" w:cs="宋体"/>
          <w:bCs/>
          <w:color w:val="000000" w:themeColor="text1"/>
          <w:kern w:val="0"/>
          <w:sz w:val="24"/>
          <w14:textFill>
            <w14:solidFill>
              <w14:schemeClr w14:val="tx1"/>
            </w14:solidFill>
          </w14:textFill>
        </w:rPr>
        <w:t>；</w:t>
      </w:r>
      <w:bookmarkStart w:id="0" w:name="_Hlk38392346"/>
    </w:p>
    <w:p w14:paraId="2642A9C9">
      <w:pPr>
        <w:keepNext w:val="0"/>
        <w:keepLines w:val="0"/>
        <w:pageBreakBefore w:val="0"/>
        <w:widowControl/>
        <w:tabs>
          <w:tab w:val="left" w:pos="284"/>
        </w:tabs>
        <w:wordWrap/>
        <w:overflowPunct/>
        <w:topLinePunct w:val="0"/>
        <w:bidi w:val="0"/>
        <w:adjustRightInd w:val="0"/>
        <w:snapToGrid w:val="0"/>
        <w:spacing w:line="480" w:lineRule="exact"/>
        <w:ind w:firstLine="1920" w:firstLineChars="800"/>
        <w:rPr>
          <w:rFonts w:ascii="宋体" w:hAnsi="宋体" w:cs="宋体"/>
          <w:bCs/>
          <w:color w:val="000000" w:themeColor="text1"/>
          <w:kern w:val="0"/>
          <w:sz w:val="24"/>
          <w14:textFill>
            <w14:solidFill>
              <w14:schemeClr w14:val="tx1"/>
            </w14:solidFill>
          </w14:textFill>
        </w:rPr>
      </w:pPr>
      <w:r>
        <w:rPr>
          <w:rFonts w:hint="eastAsia" w:ascii="宋体" w:hAnsi="宋体" w:cs="宋体"/>
          <w:bCs/>
          <w:color w:val="000000" w:themeColor="text1"/>
          <w:kern w:val="0"/>
          <w:sz w:val="24"/>
          <w14:textFill>
            <w14:solidFill>
              <w14:schemeClr w14:val="tx1"/>
            </w14:solidFill>
          </w14:textFill>
        </w:rPr>
        <w:t>农民工工资保障金</w:t>
      </w:r>
      <w:bookmarkEnd w:id="0"/>
      <w:r>
        <w:rPr>
          <w:rFonts w:hint="eastAsia" w:ascii="宋体" w:hAnsi="宋体" w:eastAsia="宋体" w:cs="宋体"/>
          <w:bCs/>
          <w:color w:val="000000" w:themeColor="text1"/>
          <w:kern w:val="0"/>
          <w:sz w:val="24"/>
          <w:lang w:eastAsia="zh-CN"/>
          <w14:textFill>
            <w14:solidFill>
              <w14:schemeClr w14:val="tx1"/>
            </w14:solidFill>
          </w14:textFill>
        </w:rPr>
        <w:t>：</w:t>
      </w:r>
      <w:r>
        <w:rPr>
          <w:rFonts w:hint="eastAsia" w:ascii="宋体" w:hAnsi="宋体" w:eastAsia="宋体" w:cs="宋体"/>
          <w:b/>
          <w:bCs w:val="0"/>
          <w:color w:val="000000" w:themeColor="text1"/>
          <w:kern w:val="0"/>
          <w:sz w:val="24"/>
          <w:lang w:eastAsia="zh-CN"/>
          <w14:textFill>
            <w14:solidFill>
              <w14:schemeClr w14:val="tx1"/>
            </w14:solidFill>
          </w14:textFill>
        </w:rPr>
        <w:t>本项目免收</w:t>
      </w:r>
      <w:r>
        <w:rPr>
          <w:rFonts w:hint="eastAsia" w:ascii="宋体" w:hAnsi="宋体" w:cs="宋体"/>
          <w:bCs/>
          <w:color w:val="000000" w:themeColor="text1"/>
          <w:kern w:val="0"/>
          <w:sz w:val="24"/>
          <w14:textFill>
            <w14:solidFill>
              <w14:schemeClr w14:val="tx1"/>
            </w14:solidFill>
          </w14:textFill>
        </w:rPr>
        <w:t>。</w:t>
      </w:r>
    </w:p>
    <w:p w14:paraId="1A0A8FE8">
      <w:pPr>
        <w:keepNext w:val="0"/>
        <w:keepLines w:val="0"/>
        <w:pageBreakBefore w:val="0"/>
        <w:widowControl/>
        <w:wordWrap/>
        <w:overflowPunct/>
        <w:topLinePunct w:val="0"/>
        <w:bidi w:val="0"/>
        <w:adjustRightInd w:val="0"/>
        <w:snapToGrid w:val="0"/>
        <w:spacing w:line="480" w:lineRule="exact"/>
        <w:rPr>
          <w:rFonts w:ascii="宋体" w:hAnsi="宋体" w:eastAsia="宋体" w:cs="宋体"/>
          <w:sz w:val="24"/>
          <w:szCs w:val="24"/>
        </w:rPr>
      </w:pPr>
      <w:r>
        <w:rPr>
          <w:rFonts w:hint="eastAsia" w:ascii="宋体" w:hAnsi="宋体" w:eastAsia="宋体" w:cs="宋体"/>
          <w:sz w:val="24"/>
          <w:szCs w:val="24"/>
        </w:rPr>
        <w:t>三、安全文明要求</w:t>
      </w:r>
    </w:p>
    <w:p w14:paraId="67BE8BDF">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执行国家、省、市现行相关规定，确保安全文明施工，拆除改建项目承包人施工时须保证原建筑、结构和材料的完好，损坏部分承包人无条件自行恢复。承包人必须根据发包人的要求采取切实可行的措施并确保交通畅通和安全，确保各类管线安全运营,确保沿线居民出行通畅，将施工给群众带来的干扰降至最低。</w:t>
      </w:r>
    </w:p>
    <w:p w14:paraId="5237ECC8">
      <w:pPr>
        <w:keepNext w:val="0"/>
        <w:keepLines w:val="0"/>
        <w:pageBreakBefore w:val="0"/>
        <w:widowControl/>
        <w:wordWrap/>
        <w:overflowPunct/>
        <w:topLinePunct w:val="0"/>
        <w:bidi w:val="0"/>
        <w:adjustRightInd w:val="0"/>
        <w:snapToGrid w:val="0"/>
        <w:spacing w:line="480" w:lineRule="exact"/>
        <w:rPr>
          <w:rFonts w:ascii="宋体" w:hAnsi="宋体" w:eastAsia="宋体" w:cs="宋体"/>
          <w:sz w:val="24"/>
          <w:szCs w:val="24"/>
        </w:rPr>
      </w:pPr>
      <w:r>
        <w:rPr>
          <w:rFonts w:hint="eastAsia" w:ascii="宋体" w:hAnsi="宋体" w:eastAsia="宋体" w:cs="宋体"/>
          <w:sz w:val="24"/>
          <w:szCs w:val="24"/>
        </w:rPr>
        <w:t>四、质量要求</w:t>
      </w:r>
    </w:p>
    <w:p w14:paraId="3CECF6E7">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1.工程质量标准要求:达到国家相关施工验收规范合格标准。</w:t>
      </w:r>
    </w:p>
    <w:p w14:paraId="0FE1BD1D">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2.承包人应严格按照国家有关法律、法规和交易公告及项目需求、建设工程施工合同、设计图纸及施工标准、规范、强制性条文进行施工。因施工原因造成工程重大质量问题的，承包人应负责无偿返工，赔偿由此可能带来的发包人的损失，包括对使用功能造成影响的损失，并承担工程总造价的2%-3%的违约金，发包人有权要求撤换建造师，并保留解除施工合同的权利。</w:t>
      </w:r>
    </w:p>
    <w:p w14:paraId="0CCD564C">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3.本工程的标准规范包括:与本工程施工和施工安全相关的国家现行的各专业施工及验收规范、建设工程质量检验评定标准、有关的技术标准以及施工图所示的有关图集、标准。</w:t>
      </w:r>
    </w:p>
    <w:p w14:paraId="075C04A6">
      <w:pPr>
        <w:keepNext w:val="0"/>
        <w:keepLines w:val="0"/>
        <w:pageBreakBefore w:val="0"/>
        <w:widowControl/>
        <w:wordWrap/>
        <w:overflowPunct/>
        <w:topLinePunct w:val="0"/>
        <w:bidi w:val="0"/>
        <w:adjustRightInd w:val="0"/>
        <w:snapToGrid w:val="0"/>
        <w:spacing w:line="480" w:lineRule="exact"/>
        <w:rPr>
          <w:rFonts w:hint="eastAsia" w:ascii="宋体" w:hAnsi="宋体" w:eastAsia="宋体" w:cs="宋体"/>
          <w:sz w:val="24"/>
          <w:szCs w:val="24"/>
          <w:lang w:eastAsia="zh-CN"/>
        </w:rPr>
      </w:pPr>
      <w:r>
        <w:rPr>
          <w:rFonts w:hint="eastAsia" w:ascii="宋体" w:hAnsi="宋体" w:eastAsia="宋体" w:cs="宋体"/>
          <w:sz w:val="24"/>
          <w:szCs w:val="24"/>
        </w:rPr>
        <w:t>五、工期要求</w:t>
      </w:r>
    </w:p>
    <w:p w14:paraId="7C8529B6">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发包人应按照法律规定获得工程施工所需的许可。经发包人同意后，监理人发出的开工通知应符合法律规定。监理人应在计划开工日期7天前向承包人发出开工通知，工期以开工通知中的开工日期起算。</w:t>
      </w:r>
    </w:p>
    <w:p w14:paraId="5291FE4E">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工程施工期间，承包人必须按照交易公告及项目需求要求，以及经批准的施工组织设计、总进度计划、关键节点的进度计划，向承包人报劳动力和施工机械使用计划，使用计划经发包人和监理单位审定后，必须严格执行，发包人和监理单位将进行严格考核，经考核，有效劳动力人数和机械数量达不到计划要求的，视承包人违约，违约金按如下标准计算:劳动力按500元/人·天，施工机械按1000-</w:t>
      </w:r>
      <w:r>
        <w:rPr>
          <w:rFonts w:hint="eastAsia" w:ascii="宋体" w:hAnsi="宋体" w:eastAsia="宋体" w:cs="宋体"/>
          <w:sz w:val="24"/>
          <w:szCs w:val="24"/>
          <w:lang w:eastAsia="zh-CN"/>
        </w:rPr>
        <w:t>20000.00</w:t>
      </w:r>
      <w:r>
        <w:rPr>
          <w:rFonts w:hint="eastAsia" w:ascii="宋体" w:hAnsi="宋体" w:eastAsia="宋体" w:cs="宋体"/>
          <w:sz w:val="24"/>
          <w:szCs w:val="24"/>
        </w:rPr>
        <w:t>/台·天。累计出现10次(含10次)以上者，影响工程进度且不能如期完成节点工期或总工期的，发包人可解除合同，并要求承包人赔偿给发包人造成的损失。</w:t>
      </w:r>
    </w:p>
    <w:p w14:paraId="4710F04C">
      <w:pPr>
        <w:keepNext w:val="0"/>
        <w:keepLines w:val="0"/>
        <w:pageBreakBefore w:val="0"/>
        <w:widowControl/>
        <w:wordWrap/>
        <w:overflowPunct/>
        <w:topLinePunct w:val="0"/>
        <w:bidi w:val="0"/>
        <w:adjustRightInd w:val="0"/>
        <w:snapToGrid w:val="0"/>
        <w:spacing w:line="480" w:lineRule="exact"/>
        <w:rPr>
          <w:rFonts w:hint="eastAsia" w:ascii="宋体" w:hAnsi="宋体" w:eastAsia="宋体" w:cs="宋体"/>
          <w:sz w:val="24"/>
          <w:szCs w:val="24"/>
          <w:lang w:eastAsia="zh-CN"/>
        </w:rPr>
      </w:pPr>
      <w:r>
        <w:rPr>
          <w:rFonts w:hint="eastAsia" w:ascii="宋体" w:hAnsi="宋体" w:eastAsia="宋体" w:cs="宋体"/>
          <w:sz w:val="24"/>
          <w:szCs w:val="24"/>
        </w:rPr>
        <w:t>六、踏勘现场</w:t>
      </w:r>
    </w:p>
    <w:p w14:paraId="02E54981">
      <w:pPr>
        <w:keepNext w:val="0"/>
        <w:keepLines w:val="0"/>
        <w:pageBreakBefore w:val="0"/>
        <w:widowControl/>
        <w:wordWrap/>
        <w:overflowPunct/>
        <w:topLinePunct w:val="0"/>
        <w:bidi w:val="0"/>
        <w:adjustRightInd w:val="0"/>
        <w:snapToGrid w:val="0"/>
        <w:spacing w:line="480" w:lineRule="exact"/>
        <w:ind w:firstLine="420" w:firstLineChars="0"/>
        <w:rPr>
          <w:rFonts w:hint="eastAsia" w:ascii="宋体" w:hAnsi="宋体" w:eastAsia="宋体" w:cs="宋体"/>
          <w:sz w:val="24"/>
          <w:szCs w:val="24"/>
          <w:lang w:eastAsia="zh-CN"/>
        </w:rPr>
      </w:pPr>
      <w:r>
        <w:rPr>
          <w:rFonts w:hint="eastAsia" w:ascii="宋体" w:hAnsi="宋体" w:eastAsia="宋体" w:cs="宋体"/>
          <w:sz w:val="24"/>
          <w:szCs w:val="24"/>
        </w:rPr>
        <w:t>参与供应商应自行对工程现场及周围环境进行踏拗以获得有关现场的资料。踏勘现场所发生的自身费用由参与供应商自己承担。经项目单位允许，参与供应商可为踏勘目的进入项目单位的项目现场，但参与供应商不得因此使项目单位承担有关的责任和蒙受损失。参与供应商应承担踏勘现场的责任和风险。</w:t>
      </w:r>
    </w:p>
    <w:p w14:paraId="7D16EAF8">
      <w:pPr>
        <w:keepNext w:val="0"/>
        <w:keepLines w:val="0"/>
        <w:pageBreakBefore w:val="0"/>
        <w:widowControl/>
        <w:wordWrap/>
        <w:overflowPunct/>
        <w:topLinePunct w:val="0"/>
        <w:bidi w:val="0"/>
        <w:adjustRightInd w:val="0"/>
        <w:snapToGrid w:val="0"/>
        <w:spacing w:line="480" w:lineRule="exact"/>
        <w:ind w:firstLine="420" w:firstLineChars="0"/>
        <w:rPr>
          <w:rFonts w:ascii="宋体" w:hAnsi="宋体" w:eastAsia="宋体" w:cs="宋体"/>
          <w:sz w:val="24"/>
          <w:szCs w:val="24"/>
        </w:rPr>
      </w:pPr>
      <w:r>
        <w:rPr>
          <w:rFonts w:hint="eastAsia" w:ascii="宋体" w:hAnsi="宋体" w:eastAsia="宋体" w:cs="宋体"/>
          <w:sz w:val="24"/>
          <w:szCs w:val="24"/>
        </w:rPr>
        <w:t>项目单位向参与供应商提供的所有数据和资料，是项目单位现有的能被参与供应商利用的资料，项目单位对参与供应商做出的任何推论、理解和结论均不负责任。</w:t>
      </w:r>
    </w:p>
    <w:p w14:paraId="3A97260B">
      <w:pPr>
        <w:keepNext w:val="0"/>
        <w:keepLines w:val="0"/>
        <w:pageBreakBefore w:val="0"/>
        <w:widowControl/>
        <w:wordWrap/>
        <w:overflowPunct/>
        <w:topLinePunct w:val="0"/>
        <w:bidi w:val="0"/>
        <w:adjustRightInd w:val="0"/>
        <w:snapToGrid w:val="0"/>
        <w:spacing w:line="480" w:lineRule="exact"/>
        <w:rPr>
          <w:rFonts w:hint="eastAsia" w:ascii="宋体" w:hAnsi="宋体" w:eastAsia="宋体" w:cs="宋体"/>
          <w:sz w:val="24"/>
          <w:szCs w:val="24"/>
          <w:lang w:eastAsia="zh-CN"/>
        </w:rPr>
      </w:pPr>
      <w:r>
        <w:rPr>
          <w:rFonts w:hint="eastAsia" w:ascii="宋体" w:hAnsi="宋体" w:eastAsia="宋体" w:cs="宋体"/>
          <w:sz w:val="24"/>
          <w:szCs w:val="24"/>
        </w:rPr>
        <w:t>七、农民工工资要求</w:t>
      </w:r>
    </w:p>
    <w:p w14:paraId="1F7E67FD">
      <w:pPr>
        <w:keepNext w:val="0"/>
        <w:keepLines w:val="0"/>
        <w:pageBreakBefore w:val="0"/>
        <w:widowControl/>
        <w:wordWrap/>
        <w:overflowPunct/>
        <w:topLinePunct w:val="0"/>
        <w:bidi w:val="0"/>
        <w:adjustRightInd w:val="0"/>
        <w:snapToGrid w:val="0"/>
        <w:spacing w:line="480" w:lineRule="exact"/>
        <w:ind w:firstLine="420" w:firstLineChars="0"/>
        <w:rPr>
          <w:rFonts w:ascii="宋体" w:hAnsi="宋体" w:eastAsia="宋体" w:cs="宋体"/>
          <w:sz w:val="24"/>
          <w:szCs w:val="24"/>
        </w:rPr>
      </w:pPr>
      <w:r>
        <w:rPr>
          <w:rFonts w:hint="eastAsia" w:ascii="宋体" w:hAnsi="宋体" w:eastAsia="宋体" w:cs="宋体"/>
          <w:sz w:val="24"/>
          <w:szCs w:val="24"/>
        </w:rPr>
        <w:t>投标人一且中标，必须严格执行(《安庆市人民政府办公室关于印发安庆市工程建设领域农民工工资专用账户和工程款分账管理办法的通知》(宜政办秘（2021）17号）的规定。按安庆市相关规定使用“安庆市农民工工资支付监管系统”，及时足额拨付工资性工程款进入农民工工资专用账户。</w:t>
      </w:r>
    </w:p>
    <w:p w14:paraId="2906AAC9">
      <w:pPr>
        <w:keepNext w:val="0"/>
        <w:keepLines w:val="0"/>
        <w:pageBreakBefore w:val="0"/>
        <w:widowControl/>
        <w:wordWrap/>
        <w:overflowPunct/>
        <w:topLinePunct w:val="0"/>
        <w:bidi w:val="0"/>
        <w:adjustRightInd w:val="0"/>
        <w:snapToGrid w:val="0"/>
        <w:spacing w:line="480" w:lineRule="exact"/>
        <w:rPr>
          <w:rFonts w:ascii="宋体" w:hAnsi="宋体" w:eastAsia="宋体" w:cs="宋体"/>
          <w:sz w:val="24"/>
          <w:szCs w:val="24"/>
        </w:rPr>
      </w:pPr>
      <w:r>
        <w:rPr>
          <w:rFonts w:hint="eastAsia" w:ascii="宋体" w:hAnsi="宋体" w:eastAsia="宋体" w:cs="宋体"/>
          <w:sz w:val="24"/>
          <w:szCs w:val="24"/>
        </w:rPr>
        <w:t>八、材料要求</w:t>
      </w:r>
    </w:p>
    <w:p w14:paraId="4D0CB23B">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1.除发包人提供的材料、设备外，凡属承包范围内的所有材料、设备均由成交供应商自行采购。因成交供应商自行采购的材料质量引起的工程质最问题由成交供应商承担所造成的一切损失。</w:t>
      </w:r>
    </w:p>
    <w:p w14:paraId="59B5B2AC">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2.对发包人未指定品牌的材料、设备采购，必须选用符合现行国家及行业相关合格标准的要求并经项目单位同意。</w:t>
      </w:r>
    </w:p>
    <w:p w14:paraId="5DD3EFF8">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3.成交供应商对本工程的主要材料、设备及供应的厂商，须进行资格和品牌的认定。采购前应将供应商的有关资料(如质保书、生产许可证等或备案要求)报监理单位审查，并经发包人批准后方可采购。否则，发包人有权不予验收进场，由此造成的损失由成交供应商自负，工期不予顺延。材料试验费由成交供应商支付。</w:t>
      </w:r>
    </w:p>
    <w:p w14:paraId="69D5F276">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4.由承包人实施采购的工程主要设备和材料采购由承包人实施，品牌、规格等须经发包人认可签字后方可进行采购，成交供应商采购计划应提前报发包人审定。因成交供应商资源投入不足，直接影响工程质量和工期，且无视监理工程师的警告而不做改进，从而引起工程的质量、进度和材料设备准备严重滞后时，发包人有权采取相关措施进行补数，相关措施的费用由成交供应商承担。若成交供应商不能提供符合设计要求或合同约定的材料，发包人有权要求承包人停止采购，已经采购进场的勒令其退场，由此所造成的一切损失或发生的费用由承包人承担。</w:t>
      </w:r>
    </w:p>
    <w:p w14:paraId="49439B07">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交易文件中提供的参考商标、品牌或标准是项目单位为了方便参与供应商更明确、更清是说明拟采购货物的技术规格和标准，并无限制性。参与供应商若选用替代商标、品牌或标准，应优于或相当于参考商标、品牌或标准。承包人所选用产品须经发包人同意后方可使用。</w:t>
      </w:r>
    </w:p>
    <w:p w14:paraId="2B7B5FB7">
      <w:pPr>
        <w:keepNext w:val="0"/>
        <w:keepLines w:val="0"/>
        <w:pageBreakBefore w:val="0"/>
        <w:widowControl/>
        <w:wordWrap/>
        <w:overflowPunct/>
        <w:topLinePunct w:val="0"/>
        <w:bidi w:val="0"/>
        <w:adjustRightInd w:val="0"/>
        <w:snapToGrid w:val="0"/>
        <w:spacing w:line="480" w:lineRule="exact"/>
        <w:rPr>
          <w:rFonts w:ascii="宋体" w:hAnsi="宋体" w:eastAsia="宋体" w:cs="Times New Roman"/>
          <w:snapToGrid/>
          <w:color w:val="auto"/>
          <w:kern w:val="2"/>
          <w:sz w:val="24"/>
          <w:szCs w:val="24"/>
        </w:rPr>
      </w:pPr>
      <w:r>
        <w:rPr>
          <w:rFonts w:hint="eastAsia" w:ascii="宋体" w:hAnsi="宋体" w:eastAsia="宋体" w:cs="宋体"/>
          <w:sz w:val="24"/>
          <w:szCs w:val="24"/>
        </w:rPr>
        <w:t>九、工程量清单、最高投标限价编制依据</w:t>
      </w:r>
    </w:p>
    <w:p w14:paraId="331CE492">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1.施工招标文件及</w:t>
      </w:r>
      <w:r>
        <w:rPr>
          <w:rFonts w:hint="eastAsia" w:ascii="宋体" w:hAnsi="宋体" w:eastAsia="宋体" w:cs="宋体"/>
          <w:sz w:val="24"/>
          <w:szCs w:val="24"/>
          <w:lang w:val="en-US" w:eastAsia="zh-CN"/>
        </w:rPr>
        <w:t>建设单位提供的</w:t>
      </w:r>
      <w:r>
        <w:rPr>
          <w:rFonts w:hint="eastAsia" w:ascii="宋体" w:hAnsi="宋体" w:eastAsia="宋体" w:cs="宋体"/>
          <w:sz w:val="24"/>
          <w:szCs w:val="24"/>
        </w:rPr>
        <w:t>工程量清单；</w:t>
      </w:r>
    </w:p>
    <w:p w14:paraId="4DC8A5B3">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2.中华人民共和国交通运输部《公路工程标准施工招标文件》（2018年版）；</w:t>
      </w:r>
    </w:p>
    <w:p w14:paraId="61DFF884">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.《公路工程预算定额》（JTG/T 3832—2018）；</w:t>
      </w:r>
    </w:p>
    <w:p w14:paraId="4998AA46">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.《公路工程机械台班费用定额》（JTG/T 3833—2018）；</w:t>
      </w:r>
    </w:p>
    <w:p w14:paraId="2207215B">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.中华人民共和国交通部《公路工程建设项目概算预算编制办法》（JTG 3830—2018）；</w:t>
      </w:r>
    </w:p>
    <w:p w14:paraId="615D8BA8">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 安徽省交通运输厅《关于印发安徽省公路工程基本建设项目概算预算编制办法补充规定的通知》皖交基[2008]17号文（规费费率为38.1%）；</w:t>
      </w:r>
    </w:p>
    <w:p w14:paraId="22E2A8BE">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.安徽省交通运输厅《关于调整安徽省公路工程人工费单价标准的通知》</w:t>
      </w:r>
      <w:bookmarkStart w:id="1" w:name="文号"/>
      <w:r>
        <w:rPr>
          <w:rFonts w:hint="eastAsia" w:ascii="宋体" w:hAnsi="宋体" w:eastAsia="宋体" w:cs="宋体"/>
          <w:sz w:val="24"/>
          <w:szCs w:val="24"/>
        </w:rPr>
        <w:t>皖交建管函〔2019〕210号</w:t>
      </w:r>
      <w:bookmarkEnd w:id="1"/>
      <w:r>
        <w:rPr>
          <w:rFonts w:hint="eastAsia" w:ascii="宋体" w:hAnsi="宋体" w:eastAsia="宋体" w:cs="宋体"/>
          <w:sz w:val="24"/>
          <w:szCs w:val="24"/>
        </w:rPr>
        <w:t>文（人工费标准为105.56 元/工日）；</w:t>
      </w:r>
    </w:p>
    <w:p w14:paraId="0409C8A2">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.中华人民共和国交通运输部《关于调整公路工程建设项目投资估算编制办法（JTG 3820—2018）和公路工程建设项目概算预算编制办法（JTG 3830—2018）中“税金”有关规定的公告》第26号文（税金税率为9%）；</w:t>
      </w:r>
    </w:p>
    <w:p w14:paraId="691BD496">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.财政部、安全监管总局关于印发《企业安全生产费用提取和使用管理办法的通知》财企〔2012〕16号文；</w:t>
      </w:r>
    </w:p>
    <w:p w14:paraId="368AC421">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0</w:t>
      </w:r>
      <w:r>
        <w:rPr>
          <w:rFonts w:hint="eastAsia" w:ascii="宋体" w:hAnsi="宋体" w:eastAsia="宋体" w:cs="宋体"/>
          <w:sz w:val="24"/>
          <w:szCs w:val="24"/>
        </w:rPr>
        <w:t>.《关于印发&lt;潜山县推进政府投资工程建设项目参加工伤保险实施办法&gt;的通知》潜人社秘[2018]106号文（工伤保险费率为1.2‰）；</w:t>
      </w:r>
    </w:p>
    <w:p w14:paraId="217DDD3F">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1</w:t>
      </w:r>
      <w:r>
        <w:rPr>
          <w:rFonts w:hint="eastAsia" w:ascii="宋体" w:hAnsi="宋体" w:eastAsia="宋体" w:cs="宋体"/>
          <w:sz w:val="24"/>
          <w:szCs w:val="24"/>
        </w:rPr>
        <w:t>.202</w:t>
      </w:r>
      <w:r>
        <w:rPr>
          <w:rFonts w:hint="eastAsia" w:ascii="宋体" w:hAnsi="宋体" w:eastAsia="宋体" w:cs="宋体"/>
          <w:sz w:val="24"/>
          <w:szCs w:val="24"/>
          <w:lang w:val="en-US" w:eastAsia="zh-CN"/>
        </w:rPr>
        <w:t>4</w:t>
      </w:r>
      <w:r>
        <w:rPr>
          <w:rFonts w:hint="eastAsia" w:ascii="宋体" w:hAnsi="宋体" w:eastAsia="宋体" w:cs="宋体"/>
          <w:sz w:val="24"/>
          <w:szCs w:val="24"/>
        </w:rPr>
        <w:t>年《安庆市工程造价信息简讯》</w:t>
      </w:r>
      <w:r>
        <w:rPr>
          <w:rFonts w:hint="eastAsia" w:ascii="宋体" w:hAnsi="宋体" w:eastAsia="宋体" w:cs="宋体"/>
          <w:sz w:val="24"/>
          <w:szCs w:val="24"/>
          <w:lang w:val="en-US" w:eastAsia="zh-CN"/>
        </w:rPr>
        <w:t>12</w:t>
      </w:r>
      <w:r>
        <w:rPr>
          <w:rFonts w:hint="eastAsia" w:ascii="宋体" w:hAnsi="宋体" w:eastAsia="宋体" w:cs="宋体"/>
          <w:sz w:val="24"/>
          <w:szCs w:val="24"/>
        </w:rPr>
        <w:t>月份(潜山市)，部分材料参照安徽省交通工程定额站发布的安庆市交通工程主要材料价格或市场询价；</w:t>
      </w:r>
    </w:p>
    <w:p w14:paraId="3208BE29">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2</w:t>
      </w:r>
      <w:r>
        <w:rPr>
          <w:rFonts w:hint="eastAsia" w:ascii="宋体" w:hAnsi="宋体" w:eastAsia="宋体" w:cs="宋体"/>
          <w:sz w:val="24"/>
          <w:szCs w:val="24"/>
        </w:rPr>
        <w:t>.工程量清单计价编制的其它有关资料。</w:t>
      </w:r>
    </w:p>
    <w:p w14:paraId="46ABBEFF">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rPr>
        <w:t>十、合同价款</w:t>
      </w:r>
    </w:p>
    <w:p w14:paraId="3CA2275B">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1.本项目合同价格形式为</w:t>
      </w:r>
      <w:r>
        <w:rPr>
          <w:rFonts w:hint="eastAsia" w:ascii="宋体" w:hAnsi="宋体" w:eastAsia="宋体" w:cs="宋体"/>
          <w:sz w:val="24"/>
          <w:szCs w:val="24"/>
          <w:lang w:eastAsia="zh-CN"/>
        </w:rPr>
        <w:t>：</w:t>
      </w:r>
      <w:r>
        <w:rPr>
          <w:rFonts w:hint="eastAsia" w:ascii="宋体" w:hAnsi="宋体" w:eastAsia="宋体" w:cs="宋体"/>
          <w:sz w:val="24"/>
          <w:szCs w:val="24"/>
        </w:rPr>
        <w:t>固定总价合同。总价包含的风险范围包括但不限于:人工市场价、材料费及机械费的市场价格变化:除政策性调整、不可抗力以外的其他风险，除经批准的设计变更、经济签证外，其它工程造价增减均不予签证计价。</w:t>
      </w:r>
    </w:p>
    <w:p w14:paraId="334E1A79">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2.请各参与供应商自行核对本项目的最高投标限价，如有异议和投诉，请在交易前书面提出，且需要同时提交异议和投诉的依据、有关证明材料以及相关的请求及主张。项目单位将组织复查。如复在结论与原公布的最高投标限价误差超过土3%的，项目单位将进行修正，如误差在土3以内的，项目单位可不予调整。多与供应商在规定时间内未提出异议的，中标后，项目单位不接受成交供应商对此提出的任何质疑，不因此而调整合同价，参与供应商应当按照成交价完成交易公告和项目需求规定的所有工程项目。</w:t>
      </w:r>
    </w:p>
    <w:p w14:paraId="40F80931">
      <w:pPr>
        <w:pStyle w:val="5"/>
        <w:keepNext w:val="0"/>
        <w:keepLines w:val="0"/>
        <w:pageBreakBefore w:val="0"/>
        <w:widowControl/>
        <w:kinsoku/>
        <w:wordWrap/>
        <w:overflowPunct/>
        <w:topLinePunct w:val="0"/>
        <w:autoSpaceDE/>
        <w:autoSpaceDN/>
        <w:bidi w:val="0"/>
        <w:adjustRightInd w:val="0"/>
        <w:snapToGrid w:val="0"/>
        <w:spacing w:line="480" w:lineRule="exact"/>
        <w:ind w:firstLine="420" w:firstLineChars="0"/>
        <w:textAlignment w:val="auto"/>
        <w:rPr>
          <w:rFonts w:hint="eastAsia" w:hAnsi="宋体" w:eastAsia="宋体" w:cs="宋体"/>
          <w:sz w:val="24"/>
          <w:szCs w:val="24"/>
          <w:lang w:eastAsia="zh-CN"/>
        </w:rPr>
      </w:pPr>
      <w:r>
        <w:rPr>
          <w:rFonts w:hint="eastAsia" w:hAnsi="宋体" w:eastAsia="宋体" w:cs="宋体"/>
          <w:sz w:val="24"/>
          <w:szCs w:val="24"/>
        </w:rPr>
        <w:t>3.经批准的设计变更、经济签证引起的合同价款的调整原则:按最高投标限价编制原则结合中标综合下浮率结合进行调整。</w:t>
      </w:r>
    </w:p>
    <w:p w14:paraId="145934BC">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1)合同价中已有适用的综合单价，按最高投标限价中的子目综合单价乘以(1-综合下浮串)进行确定</w:t>
      </w:r>
      <w:r>
        <w:rPr>
          <w:rFonts w:hint="eastAsia" w:hAnsi="宋体" w:eastAsia="宋体" w:cs="宋体"/>
          <w:sz w:val="24"/>
          <w:szCs w:val="24"/>
          <w:lang w:eastAsia="zh-CN"/>
        </w:rPr>
        <w:t>；</w:t>
      </w:r>
    </w:p>
    <w:p w14:paraId="2B0913E3">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2)合同价中有类似的综合单价，参照最高投标限价中的类似子目综合单价乘以(1-综合下浮车)确定</w:t>
      </w:r>
      <w:r>
        <w:rPr>
          <w:rFonts w:hint="eastAsia" w:hAnsi="宋体" w:eastAsia="宋体" w:cs="宋体"/>
          <w:sz w:val="24"/>
          <w:szCs w:val="24"/>
          <w:lang w:eastAsia="zh-CN"/>
        </w:rPr>
        <w:t>；</w:t>
      </w:r>
    </w:p>
    <w:p w14:paraId="413F3FE9">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rPr>
      </w:pPr>
      <w:r>
        <w:rPr>
          <w:rFonts w:hint="eastAsia" w:hAnsi="宋体" w:eastAsia="宋体" w:cs="宋体"/>
          <w:sz w:val="24"/>
          <w:szCs w:val="24"/>
        </w:rPr>
        <w:t>3)合同价中没有适用或类似的综合单价，由承包人根据最高投标限价编制依据中的计价原则规定提出适当的综合单价，报送发包人或其委托的工程造价咨询单位审核，该综合单价乘以(1-综合下浮率)作为实际结算综合单价。</w:t>
      </w:r>
    </w:p>
    <w:p w14:paraId="7F82C541">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rPr>
      </w:pPr>
      <w:r>
        <w:rPr>
          <w:rFonts w:hint="eastAsia" w:hAnsi="宋体" w:eastAsia="宋体" w:cs="宋体"/>
          <w:sz w:val="24"/>
          <w:szCs w:val="24"/>
        </w:rPr>
        <w:t>4.合同价中的暂列金额归项目单位所有。</w:t>
      </w:r>
    </w:p>
    <w:p w14:paraId="4662571A">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5.暂估价(如有)均为估算金额，工程竣工后应按承包人实际完成的工程内容造价(费用)乘以(1-综合下浮率)计算。</w:t>
      </w:r>
    </w:p>
    <w:p w14:paraId="1C888712">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6.最终结算价以经发包人或其委托的其他机构审定结果为准。</w:t>
      </w:r>
    </w:p>
    <w:p w14:paraId="0E90BE18">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rPr>
      </w:pPr>
      <w:r>
        <w:rPr>
          <w:rFonts w:hint="eastAsia" w:hAnsi="宋体" w:eastAsia="宋体" w:cs="宋体"/>
          <w:sz w:val="24"/>
          <w:szCs w:val="24"/>
        </w:rPr>
        <w:t>7.所有工程保险费用均由承包人承担。</w:t>
      </w:r>
    </w:p>
    <w:p w14:paraId="0243F2BB">
      <w:pPr>
        <w:pStyle w:val="5"/>
        <w:keepNext w:val="0"/>
        <w:keepLines w:val="0"/>
        <w:pageBreakBefore w:val="0"/>
        <w:widowControl/>
        <w:kinsoku/>
        <w:wordWrap/>
        <w:overflowPunct/>
        <w:topLinePunct w:val="0"/>
        <w:autoSpaceDE/>
        <w:autoSpaceDN/>
        <w:bidi w:val="0"/>
        <w:adjustRightInd w:val="0"/>
        <w:snapToGrid w:val="0"/>
        <w:spacing w:line="480" w:lineRule="exact"/>
        <w:textAlignment w:val="auto"/>
        <w:rPr>
          <w:rFonts w:hint="eastAsia" w:hAnsi="宋体" w:eastAsia="宋体" w:cs="宋体"/>
          <w:sz w:val="24"/>
          <w:szCs w:val="24"/>
          <w:lang w:eastAsia="zh-CN"/>
        </w:rPr>
      </w:pPr>
      <w:r>
        <w:rPr>
          <w:rFonts w:hint="eastAsia" w:hAnsi="宋体" w:eastAsia="宋体" w:cs="宋体"/>
          <w:sz w:val="24"/>
          <w:szCs w:val="24"/>
        </w:rPr>
        <w:t xml:space="preserve"> 十一、费用缴纳</w:t>
      </w:r>
    </w:p>
    <w:p w14:paraId="6F0999A0">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Ansi="宋体" w:eastAsia="宋体" w:cs="宋体"/>
          <w:b/>
          <w:bCs/>
          <w:color w:val="auto"/>
          <w:sz w:val="24"/>
          <w:szCs w:val="24"/>
        </w:rPr>
      </w:pPr>
      <w:r>
        <w:rPr>
          <w:rFonts w:hint="eastAsia" w:hAnsi="宋体" w:eastAsia="宋体" w:cs="宋体"/>
          <w:sz w:val="24"/>
          <w:szCs w:val="24"/>
        </w:rPr>
        <w:t>1、</w:t>
      </w:r>
      <w:r>
        <w:rPr>
          <w:rFonts w:hint="eastAsia" w:hAnsi="宋体" w:eastAsia="宋体" w:cs="宋体"/>
          <w:b/>
          <w:bCs/>
          <w:color w:val="auto"/>
          <w:sz w:val="24"/>
          <w:szCs w:val="24"/>
        </w:rPr>
        <w:t>招标代理费、工程量清单和最高投标限价编制费</w:t>
      </w:r>
    </w:p>
    <w:p w14:paraId="0E845BE9">
      <w:pPr>
        <w:pStyle w:val="5"/>
        <w:keepNext w:val="0"/>
        <w:keepLines w:val="0"/>
        <w:pageBreakBefore w:val="0"/>
        <w:widowControl/>
        <w:kinsoku/>
        <w:wordWrap/>
        <w:overflowPunct/>
        <w:topLinePunct w:val="0"/>
        <w:autoSpaceDE/>
        <w:autoSpaceDN/>
        <w:bidi w:val="0"/>
        <w:adjustRightInd w:val="0"/>
        <w:snapToGrid w:val="0"/>
        <w:spacing w:line="480" w:lineRule="exact"/>
        <w:ind w:firstLine="460" w:firstLineChars="192"/>
        <w:textAlignment w:val="auto"/>
        <w:rPr>
          <w:rFonts w:hint="eastAsia" w:hAnsi="宋体" w:eastAsia="宋体" w:cs="宋体"/>
          <w:color w:val="auto"/>
          <w:sz w:val="24"/>
          <w:szCs w:val="24"/>
          <w:lang w:eastAsia="zh-CN"/>
        </w:rPr>
      </w:pPr>
      <w:r>
        <w:rPr>
          <w:rFonts w:hint="eastAsia" w:cs="宋体" w:asciiTheme="minorEastAsia" w:hAnsiTheme="minorEastAsia" w:eastAsiaTheme="minorEastAsia"/>
          <w:color w:val="auto"/>
          <w:sz w:val="24"/>
          <w:szCs w:val="24"/>
        </w:rPr>
        <w:t>（1）招标代理费：按差额定率累进法计算，以中标价为计算基数，按下表规定收取：</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4671"/>
      </w:tblGrid>
      <w:tr w14:paraId="3B21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4428" w:type="dxa"/>
          </w:tcPr>
          <w:p w14:paraId="74317A2D">
            <w:pPr>
              <w:keepNext w:val="0"/>
              <w:keepLines w:val="0"/>
              <w:pageBreakBefore w:val="0"/>
              <w:kinsoku/>
              <w:wordWrap/>
              <w:overflowPunct/>
              <w:topLinePunct w:val="0"/>
              <w:bidi w:val="0"/>
              <w:spacing w:line="480" w:lineRule="exact"/>
              <w:rPr>
                <w:rFonts w:ascii="宋体" w:hAnsi="宋体" w:eastAsia="宋体" w:cs="宋体"/>
                <w:color w:val="auto"/>
                <w:sz w:val="24"/>
                <w:szCs w:val="24"/>
              </w:rPr>
            </w:pPr>
            <w:r>
              <w:rPr>
                <w:rFonts w:hint="eastAsia" w:ascii="宋体" w:hAnsi="宋体" w:eastAsia="宋体" w:cs="宋体"/>
                <w:color w:val="auto"/>
                <w:sz w:val="24"/>
                <w:szCs w:val="24"/>
              </w:rPr>
              <mc:AlternateContent>
                <mc:Choice Requires="wps">
                  <w:drawing>
                    <wp:anchor distT="0" distB="0" distL="114300" distR="114300" simplePos="0" relativeHeight="251659264" behindDoc="0" locked="0" layoutInCell="1" allowOverlap="1">
                      <wp:simplePos x="0" y="0"/>
                      <wp:positionH relativeFrom="column">
                        <wp:posOffset>-67945</wp:posOffset>
                      </wp:positionH>
                      <wp:positionV relativeFrom="paragraph">
                        <wp:posOffset>0</wp:posOffset>
                      </wp:positionV>
                      <wp:extent cx="2797175" cy="668020"/>
                      <wp:effectExtent l="1270" t="4445" r="1905" b="13335"/>
                      <wp:wrapNone/>
                      <wp:docPr id="1" name="直接连接符 1"/>
                      <wp:cNvGraphicFramePr/>
                      <a:graphic xmlns:a="http://schemas.openxmlformats.org/drawingml/2006/main">
                        <a:graphicData uri="http://schemas.microsoft.com/office/word/2010/wordprocessingShape">
                          <wps:wsp>
                            <wps:cNvCnPr/>
                            <wps:spPr>
                              <a:xfrm>
                                <a:off x="0" y="0"/>
                                <a:ext cx="2797175" cy="66802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5.35pt;margin-top:0pt;height:52.6pt;width:220.25pt;z-index:251659264;mso-width-relative:page;mso-height-relative:page;" filled="f" stroked="t" coordsize="21600,21600" o:gfxdata="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jI45dUAAAAIAQAADwAAAAAAAAABACAAAAAiAAAAZHJzL2Rvd25yZXYueG1sUEsBAhQAFAAA&#10;AAgAh07iQF7CWffyAQAA3QMAAA4AAAAAAAAAAQAgAAAAJA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color w:val="auto"/>
                <w:sz w:val="24"/>
                <w:szCs w:val="24"/>
              </w:rPr>
              <w:t xml:space="preserve">                              费率</w:t>
            </w:r>
          </w:p>
          <w:p w14:paraId="6CB5EDCB">
            <w:pPr>
              <w:keepNext w:val="0"/>
              <w:keepLines w:val="0"/>
              <w:pageBreakBefore w:val="0"/>
              <w:kinsoku/>
              <w:wordWrap/>
              <w:overflowPunct/>
              <w:topLinePunct w:val="0"/>
              <w:bidi w:val="0"/>
              <w:spacing w:line="480" w:lineRule="exact"/>
              <w:rPr>
                <w:rFonts w:ascii="宋体" w:hAnsi="宋体" w:eastAsia="宋体" w:cs="宋体"/>
                <w:color w:val="auto"/>
                <w:sz w:val="24"/>
                <w:szCs w:val="24"/>
              </w:rPr>
            </w:pPr>
            <w:r>
              <w:rPr>
                <w:rFonts w:hint="eastAsia" w:ascii="宋体" w:hAnsi="宋体" w:eastAsia="宋体" w:cs="宋体"/>
                <w:color w:val="auto"/>
                <w:sz w:val="24"/>
                <w:szCs w:val="24"/>
              </w:rPr>
              <w:t>中标金额</w:t>
            </w:r>
          </w:p>
        </w:tc>
        <w:tc>
          <w:tcPr>
            <w:tcW w:w="4671" w:type="dxa"/>
            <w:vAlign w:val="center"/>
          </w:tcPr>
          <w:p w14:paraId="6E148EF4">
            <w:pPr>
              <w:keepNext w:val="0"/>
              <w:keepLines w:val="0"/>
              <w:pageBreakBefore w:val="0"/>
              <w:kinsoku/>
              <w:wordWrap/>
              <w:overflowPunct/>
              <w:topLinePunct w:val="0"/>
              <w:bidi w:val="0"/>
              <w:spacing w:line="480" w:lineRule="exact"/>
              <w:jc w:val="center"/>
              <w:rPr>
                <w:rFonts w:ascii="宋体" w:hAnsi="宋体" w:eastAsia="宋体" w:cs="宋体"/>
                <w:color w:val="auto"/>
                <w:sz w:val="24"/>
                <w:szCs w:val="24"/>
              </w:rPr>
            </w:pPr>
            <w:r>
              <w:rPr>
                <w:rFonts w:hint="eastAsia" w:ascii="宋体" w:hAnsi="宋体" w:eastAsia="宋体" w:cs="宋体"/>
                <w:color w:val="auto"/>
                <w:sz w:val="24"/>
                <w:szCs w:val="24"/>
              </w:rPr>
              <w:t>工程招标</w:t>
            </w:r>
          </w:p>
        </w:tc>
      </w:tr>
      <w:tr w14:paraId="22EFA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4428" w:type="dxa"/>
            <w:vAlign w:val="center"/>
          </w:tcPr>
          <w:p w14:paraId="45C1CB7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100万元以下</w:t>
            </w:r>
          </w:p>
        </w:tc>
        <w:tc>
          <w:tcPr>
            <w:tcW w:w="4671" w:type="dxa"/>
            <w:vAlign w:val="center"/>
          </w:tcPr>
          <w:p w14:paraId="71FED3F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w:t>
            </w:r>
          </w:p>
        </w:tc>
      </w:tr>
      <w:tr w14:paraId="1C664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428" w:type="dxa"/>
            <w:vAlign w:val="center"/>
          </w:tcPr>
          <w:p w14:paraId="4D75AF3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100～500万元</w:t>
            </w:r>
          </w:p>
        </w:tc>
        <w:tc>
          <w:tcPr>
            <w:tcW w:w="4671" w:type="dxa"/>
            <w:vAlign w:val="center"/>
          </w:tcPr>
          <w:p w14:paraId="19933E5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0.7%</w:t>
            </w:r>
          </w:p>
        </w:tc>
      </w:tr>
      <w:tr w14:paraId="65D6A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428" w:type="dxa"/>
            <w:vAlign w:val="center"/>
          </w:tcPr>
          <w:p w14:paraId="7186E3D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500～1000万元</w:t>
            </w:r>
          </w:p>
        </w:tc>
        <w:tc>
          <w:tcPr>
            <w:tcW w:w="4671" w:type="dxa"/>
            <w:vAlign w:val="center"/>
          </w:tcPr>
          <w:p w14:paraId="79C8986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0.55%</w:t>
            </w:r>
          </w:p>
        </w:tc>
      </w:tr>
      <w:tr w14:paraId="5798D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428" w:type="dxa"/>
            <w:vAlign w:val="center"/>
          </w:tcPr>
          <w:p w14:paraId="5C6D81B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1000～</w:t>
            </w:r>
            <w:r>
              <w:rPr>
                <w:rFonts w:hint="eastAsia" w:ascii="宋体" w:hAnsi="宋体" w:eastAsia="宋体" w:cs="宋体"/>
                <w:color w:val="auto"/>
                <w:sz w:val="24"/>
                <w:szCs w:val="24"/>
                <w:lang w:eastAsia="zh-CN"/>
              </w:rPr>
              <w:t>20000.00</w:t>
            </w:r>
            <w:r>
              <w:rPr>
                <w:rFonts w:hint="eastAsia" w:ascii="宋体" w:hAnsi="宋体" w:eastAsia="宋体" w:cs="宋体"/>
                <w:color w:val="auto"/>
                <w:sz w:val="24"/>
                <w:szCs w:val="24"/>
              </w:rPr>
              <w:t>万元</w:t>
            </w:r>
          </w:p>
        </w:tc>
        <w:tc>
          <w:tcPr>
            <w:tcW w:w="4671" w:type="dxa"/>
            <w:vAlign w:val="center"/>
          </w:tcPr>
          <w:p w14:paraId="1678EBC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0.35%</w:t>
            </w:r>
          </w:p>
        </w:tc>
      </w:tr>
      <w:tr w14:paraId="745BA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428" w:type="dxa"/>
            <w:vAlign w:val="center"/>
          </w:tcPr>
          <w:p w14:paraId="6E1A5A6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lang w:eastAsia="zh-CN"/>
              </w:rPr>
              <w:t>20000.00</w:t>
            </w:r>
            <w:r>
              <w:rPr>
                <w:rFonts w:hint="eastAsia" w:ascii="宋体" w:hAnsi="宋体" w:eastAsia="宋体" w:cs="宋体"/>
                <w:color w:val="auto"/>
                <w:sz w:val="24"/>
                <w:szCs w:val="24"/>
              </w:rPr>
              <w:t>万元～1亿元</w:t>
            </w:r>
          </w:p>
        </w:tc>
        <w:tc>
          <w:tcPr>
            <w:tcW w:w="4671" w:type="dxa"/>
            <w:vAlign w:val="center"/>
          </w:tcPr>
          <w:p w14:paraId="2494470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0.2%</w:t>
            </w:r>
          </w:p>
        </w:tc>
      </w:tr>
      <w:tr w14:paraId="1440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4428" w:type="dxa"/>
            <w:vAlign w:val="center"/>
          </w:tcPr>
          <w:p w14:paraId="6BF3AA8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1～5亿元</w:t>
            </w:r>
          </w:p>
        </w:tc>
        <w:tc>
          <w:tcPr>
            <w:tcW w:w="4671" w:type="dxa"/>
            <w:vAlign w:val="center"/>
          </w:tcPr>
          <w:p w14:paraId="238702D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0.05%</w:t>
            </w:r>
          </w:p>
        </w:tc>
      </w:tr>
      <w:tr w14:paraId="29E9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4428" w:type="dxa"/>
            <w:vAlign w:val="center"/>
          </w:tcPr>
          <w:p w14:paraId="7AD0EA5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5～10亿元</w:t>
            </w:r>
          </w:p>
        </w:tc>
        <w:tc>
          <w:tcPr>
            <w:tcW w:w="4671" w:type="dxa"/>
            <w:vAlign w:val="center"/>
          </w:tcPr>
          <w:p w14:paraId="4FD8A282">
            <w:pPr>
              <w:keepNext w:val="0"/>
              <w:keepLines w:val="0"/>
              <w:pageBreakBefore w:val="0"/>
              <w:widowControl w:val="0"/>
              <w:kinsoku/>
              <w:wordWrap/>
              <w:overflowPunct/>
              <w:topLinePunct w:val="0"/>
              <w:autoSpaceDE/>
              <w:autoSpaceDN/>
              <w:bidi w:val="0"/>
              <w:adjustRightInd/>
              <w:snapToGrid/>
              <w:spacing w:line="480" w:lineRule="exact"/>
              <w:ind w:firstLine="120" w:firstLineChars="50"/>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0.035%</w:t>
            </w:r>
          </w:p>
        </w:tc>
      </w:tr>
      <w:tr w14:paraId="760E4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28" w:type="dxa"/>
            <w:vAlign w:val="center"/>
          </w:tcPr>
          <w:p w14:paraId="03E377F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10～50亿元</w:t>
            </w:r>
          </w:p>
        </w:tc>
        <w:tc>
          <w:tcPr>
            <w:tcW w:w="4671" w:type="dxa"/>
            <w:vAlign w:val="center"/>
          </w:tcPr>
          <w:p w14:paraId="318A693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0.008%</w:t>
            </w:r>
          </w:p>
        </w:tc>
      </w:tr>
      <w:tr w14:paraId="67E18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428" w:type="dxa"/>
            <w:vAlign w:val="center"/>
          </w:tcPr>
          <w:p w14:paraId="421E594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50～100亿元</w:t>
            </w:r>
          </w:p>
        </w:tc>
        <w:tc>
          <w:tcPr>
            <w:tcW w:w="4671" w:type="dxa"/>
            <w:vAlign w:val="center"/>
          </w:tcPr>
          <w:p w14:paraId="3C816F7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0.006%</w:t>
            </w:r>
          </w:p>
        </w:tc>
      </w:tr>
      <w:tr w14:paraId="4BCB5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428" w:type="dxa"/>
            <w:vAlign w:val="center"/>
          </w:tcPr>
          <w:p w14:paraId="74D749C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100亿以上</w:t>
            </w:r>
          </w:p>
        </w:tc>
        <w:tc>
          <w:tcPr>
            <w:tcW w:w="4671" w:type="dxa"/>
            <w:vAlign w:val="center"/>
          </w:tcPr>
          <w:p w14:paraId="70782F4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0.004%</w:t>
            </w:r>
          </w:p>
        </w:tc>
      </w:tr>
    </w:tbl>
    <w:p w14:paraId="43497437">
      <w:pPr>
        <w:pStyle w:val="5"/>
        <w:keepNext w:val="0"/>
        <w:keepLines w:val="0"/>
        <w:pageBreakBefore w:val="0"/>
        <w:kinsoku/>
        <w:wordWrap/>
        <w:overflowPunct/>
        <w:topLinePunct w:val="0"/>
        <w:autoSpaceDE/>
        <w:autoSpaceDN/>
        <w:bidi w:val="0"/>
        <w:spacing w:line="480" w:lineRule="exact"/>
        <w:ind w:firstLine="480" w:firstLineChars="200"/>
        <w:textAlignment w:val="auto"/>
        <w:rPr>
          <w:rFonts w:hAnsi="宋体" w:eastAsia="宋体" w:cs="宋体"/>
          <w:color w:val="auto"/>
          <w:sz w:val="24"/>
          <w:szCs w:val="24"/>
        </w:rPr>
      </w:pPr>
      <w:r>
        <w:rPr>
          <w:rFonts w:hint="eastAsia" w:hAnsi="宋体" w:eastAsia="宋体" w:cs="宋体"/>
          <w:color w:val="auto"/>
          <w:sz w:val="24"/>
          <w:szCs w:val="24"/>
        </w:rPr>
        <w:t>工程量清单和最高投标限价编制费：按差额定率累进法计算，以中标价为计算基数，参照下表收取。</w:t>
      </w:r>
    </w:p>
    <w:tbl>
      <w:tblPr>
        <w:tblStyle w:val="10"/>
        <w:tblW w:w="9158" w:type="dxa"/>
        <w:jc w:val="center"/>
        <w:tblLayout w:type="fixed"/>
        <w:tblCellMar>
          <w:top w:w="0" w:type="dxa"/>
          <w:left w:w="0" w:type="dxa"/>
          <w:bottom w:w="0" w:type="dxa"/>
          <w:right w:w="0" w:type="dxa"/>
        </w:tblCellMar>
      </w:tblPr>
      <w:tblGrid>
        <w:gridCol w:w="1734"/>
        <w:gridCol w:w="1434"/>
        <w:gridCol w:w="546"/>
        <w:gridCol w:w="576"/>
        <w:gridCol w:w="576"/>
        <w:gridCol w:w="624"/>
        <w:gridCol w:w="716"/>
        <w:gridCol w:w="623"/>
        <w:gridCol w:w="748"/>
        <w:gridCol w:w="796"/>
        <w:gridCol w:w="785"/>
      </w:tblGrid>
      <w:tr w14:paraId="7F031DA3">
        <w:tblPrEx>
          <w:tblCellMar>
            <w:top w:w="0" w:type="dxa"/>
            <w:left w:w="0" w:type="dxa"/>
            <w:bottom w:w="0" w:type="dxa"/>
            <w:right w:w="0" w:type="dxa"/>
          </w:tblCellMar>
        </w:tblPrEx>
        <w:trPr>
          <w:trHeight w:val="601" w:hRule="atLeast"/>
          <w:jc w:val="center"/>
        </w:trPr>
        <w:tc>
          <w:tcPr>
            <w:tcW w:w="1734" w:type="dxa"/>
            <w:tcBorders>
              <w:top w:val="single" w:color="auto" w:sz="4" w:space="0"/>
              <w:left w:val="single" w:color="auto" w:sz="4" w:space="0"/>
              <w:bottom w:val="single" w:color="auto" w:sz="4" w:space="0"/>
              <w:right w:val="single" w:color="auto" w:sz="4" w:space="0"/>
            </w:tcBorders>
            <w:vAlign w:val="center"/>
          </w:tcPr>
          <w:p w14:paraId="7788F803">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收费基础</w:t>
            </w:r>
          </w:p>
        </w:tc>
        <w:tc>
          <w:tcPr>
            <w:tcW w:w="1434" w:type="dxa"/>
            <w:tcBorders>
              <w:top w:val="single" w:color="auto" w:sz="4" w:space="0"/>
              <w:left w:val="single" w:color="auto" w:sz="4" w:space="0"/>
              <w:bottom w:val="single" w:color="auto" w:sz="4" w:space="0"/>
              <w:right w:val="single" w:color="auto" w:sz="4" w:space="0"/>
            </w:tcBorders>
            <w:vAlign w:val="center"/>
          </w:tcPr>
          <w:p w14:paraId="68E00C21">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工程类型</w:t>
            </w:r>
          </w:p>
        </w:tc>
        <w:tc>
          <w:tcPr>
            <w:tcW w:w="5990" w:type="dxa"/>
            <w:gridSpan w:val="9"/>
            <w:tcBorders>
              <w:top w:val="single" w:color="auto" w:sz="4" w:space="0"/>
              <w:left w:val="nil"/>
              <w:bottom w:val="single" w:color="auto" w:sz="4" w:space="0"/>
              <w:right w:val="single" w:color="auto" w:sz="4" w:space="0"/>
            </w:tcBorders>
            <w:vAlign w:val="center"/>
          </w:tcPr>
          <w:p w14:paraId="75254C64">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 xml:space="preserve">            单位工程金额(万元)        </w:t>
            </w:r>
            <w:r>
              <w:rPr>
                <w:rFonts w:hint="eastAsia" w:ascii="宋体" w:hAnsi="宋体" w:eastAsia="宋体" w:cs="宋体"/>
                <w:bCs/>
                <w:color w:val="auto"/>
                <w:sz w:val="24"/>
                <w:szCs w:val="24"/>
              </w:rPr>
              <w:t xml:space="preserve">费率：‰ </w:t>
            </w:r>
          </w:p>
        </w:tc>
      </w:tr>
      <w:tr w14:paraId="3964F834">
        <w:tblPrEx>
          <w:tblCellMar>
            <w:top w:w="0" w:type="dxa"/>
            <w:left w:w="0" w:type="dxa"/>
            <w:bottom w:w="0" w:type="dxa"/>
            <w:right w:w="0" w:type="dxa"/>
          </w:tblCellMar>
        </w:tblPrEx>
        <w:trPr>
          <w:trHeight w:val="1180" w:hRule="atLeast"/>
          <w:jc w:val="center"/>
        </w:trPr>
        <w:tc>
          <w:tcPr>
            <w:tcW w:w="1734" w:type="dxa"/>
            <w:tcBorders>
              <w:top w:val="single" w:color="auto" w:sz="4" w:space="0"/>
              <w:left w:val="single" w:color="auto" w:sz="4" w:space="0"/>
              <w:bottom w:val="single" w:color="auto" w:sz="4" w:space="0"/>
              <w:right w:val="single" w:color="auto" w:sz="4" w:space="0"/>
            </w:tcBorders>
            <w:vAlign w:val="center"/>
          </w:tcPr>
          <w:p w14:paraId="5D7E436D">
            <w:pPr>
              <w:keepNext w:val="0"/>
              <w:keepLines w:val="0"/>
              <w:pageBreakBefore w:val="0"/>
              <w:kinsoku/>
              <w:wordWrap/>
              <w:overflowPunct/>
              <w:topLinePunct w:val="0"/>
              <w:autoSpaceDE/>
              <w:autoSpaceDN/>
              <w:bidi w:val="0"/>
              <w:adjustRightInd/>
              <w:snapToGrid/>
              <w:spacing w:line="480" w:lineRule="exact"/>
              <w:textAlignment w:val="auto"/>
              <w:rPr>
                <w:rFonts w:ascii="宋体" w:hAnsi="宋体" w:eastAsia="宋体" w:cs="宋体"/>
                <w:color w:val="auto"/>
                <w:sz w:val="24"/>
                <w:szCs w:val="24"/>
              </w:rPr>
            </w:pPr>
          </w:p>
        </w:tc>
        <w:tc>
          <w:tcPr>
            <w:tcW w:w="1434" w:type="dxa"/>
            <w:tcBorders>
              <w:top w:val="single" w:color="auto" w:sz="4" w:space="0"/>
              <w:left w:val="single" w:color="auto" w:sz="4" w:space="0"/>
              <w:bottom w:val="single" w:color="auto" w:sz="4" w:space="0"/>
              <w:right w:val="single" w:color="auto" w:sz="4" w:space="0"/>
            </w:tcBorders>
            <w:vAlign w:val="center"/>
          </w:tcPr>
          <w:p w14:paraId="31B726CA">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p>
        </w:tc>
        <w:tc>
          <w:tcPr>
            <w:tcW w:w="546" w:type="dxa"/>
            <w:tcBorders>
              <w:top w:val="nil"/>
              <w:left w:val="nil"/>
              <w:bottom w:val="single" w:color="auto" w:sz="4" w:space="0"/>
              <w:right w:val="single" w:color="auto" w:sz="4" w:space="0"/>
            </w:tcBorders>
            <w:vAlign w:val="center"/>
          </w:tcPr>
          <w:p w14:paraId="5BBCCD80">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50以下</w:t>
            </w:r>
          </w:p>
        </w:tc>
        <w:tc>
          <w:tcPr>
            <w:tcW w:w="576" w:type="dxa"/>
            <w:tcBorders>
              <w:top w:val="nil"/>
              <w:left w:val="nil"/>
              <w:bottom w:val="single" w:color="auto" w:sz="4" w:space="0"/>
              <w:right w:val="single" w:color="auto" w:sz="4" w:space="0"/>
            </w:tcBorders>
            <w:vAlign w:val="center"/>
          </w:tcPr>
          <w:p w14:paraId="5ED0ADE5">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50-100</w:t>
            </w:r>
          </w:p>
        </w:tc>
        <w:tc>
          <w:tcPr>
            <w:tcW w:w="576" w:type="dxa"/>
            <w:tcBorders>
              <w:top w:val="nil"/>
              <w:left w:val="nil"/>
              <w:bottom w:val="single" w:color="auto" w:sz="4" w:space="0"/>
              <w:right w:val="single" w:color="auto" w:sz="4" w:space="0"/>
            </w:tcBorders>
            <w:vAlign w:val="center"/>
          </w:tcPr>
          <w:p w14:paraId="6179F6F5">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100-200</w:t>
            </w:r>
          </w:p>
        </w:tc>
        <w:tc>
          <w:tcPr>
            <w:tcW w:w="624" w:type="dxa"/>
            <w:tcBorders>
              <w:top w:val="nil"/>
              <w:left w:val="nil"/>
              <w:bottom w:val="single" w:color="auto" w:sz="4" w:space="0"/>
              <w:right w:val="single" w:color="auto" w:sz="4" w:space="0"/>
            </w:tcBorders>
            <w:vAlign w:val="center"/>
          </w:tcPr>
          <w:p w14:paraId="373478A0">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200-500</w:t>
            </w:r>
          </w:p>
        </w:tc>
        <w:tc>
          <w:tcPr>
            <w:tcW w:w="716" w:type="dxa"/>
            <w:tcBorders>
              <w:top w:val="nil"/>
              <w:left w:val="nil"/>
              <w:bottom w:val="single" w:color="auto" w:sz="4" w:space="0"/>
              <w:right w:val="single" w:color="auto" w:sz="4" w:space="0"/>
            </w:tcBorders>
            <w:vAlign w:val="center"/>
          </w:tcPr>
          <w:p w14:paraId="53FAD6D9">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500-1000</w:t>
            </w:r>
          </w:p>
        </w:tc>
        <w:tc>
          <w:tcPr>
            <w:tcW w:w="623" w:type="dxa"/>
            <w:tcBorders>
              <w:top w:val="nil"/>
              <w:left w:val="nil"/>
              <w:bottom w:val="single" w:color="auto" w:sz="4" w:space="0"/>
              <w:right w:val="single" w:color="auto" w:sz="4" w:space="0"/>
            </w:tcBorders>
            <w:vAlign w:val="center"/>
          </w:tcPr>
          <w:p w14:paraId="0ABAAA6A">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1000-2000</w:t>
            </w:r>
          </w:p>
        </w:tc>
        <w:tc>
          <w:tcPr>
            <w:tcW w:w="748" w:type="dxa"/>
            <w:tcBorders>
              <w:top w:val="nil"/>
              <w:left w:val="nil"/>
              <w:bottom w:val="single" w:color="auto" w:sz="4" w:space="0"/>
              <w:right w:val="single" w:color="auto" w:sz="4" w:space="0"/>
            </w:tcBorders>
            <w:vAlign w:val="center"/>
          </w:tcPr>
          <w:p w14:paraId="1AF29CB3">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2000-</w:t>
            </w:r>
            <w:r>
              <w:rPr>
                <w:rFonts w:hint="eastAsia" w:ascii="宋体" w:hAnsi="宋体" w:eastAsia="宋体" w:cs="宋体"/>
                <w:color w:val="auto"/>
                <w:sz w:val="24"/>
                <w:szCs w:val="24"/>
                <w:lang w:eastAsia="zh-CN"/>
              </w:rPr>
              <w:t>20000.00</w:t>
            </w:r>
          </w:p>
        </w:tc>
        <w:tc>
          <w:tcPr>
            <w:tcW w:w="796" w:type="dxa"/>
            <w:tcBorders>
              <w:top w:val="nil"/>
              <w:left w:val="nil"/>
              <w:bottom w:val="single" w:color="auto" w:sz="4" w:space="0"/>
              <w:right w:val="single" w:color="auto" w:sz="4" w:space="0"/>
            </w:tcBorders>
            <w:vAlign w:val="center"/>
          </w:tcPr>
          <w:p w14:paraId="491C40F7">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20000.00</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20000</w:t>
            </w:r>
          </w:p>
        </w:tc>
        <w:tc>
          <w:tcPr>
            <w:tcW w:w="785" w:type="dxa"/>
            <w:tcBorders>
              <w:top w:val="nil"/>
              <w:left w:val="nil"/>
              <w:bottom w:val="single" w:color="auto" w:sz="4" w:space="0"/>
              <w:right w:val="single" w:color="auto" w:sz="4" w:space="0"/>
            </w:tcBorders>
            <w:vAlign w:val="center"/>
          </w:tcPr>
          <w:p w14:paraId="61CABF3B">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lang w:eastAsia="zh-CN"/>
              </w:rPr>
              <w:t>20000</w:t>
            </w:r>
            <w:r>
              <w:rPr>
                <w:rFonts w:hint="eastAsia" w:ascii="宋体" w:hAnsi="宋体" w:eastAsia="宋体" w:cs="宋体"/>
                <w:color w:val="auto"/>
                <w:sz w:val="24"/>
                <w:szCs w:val="24"/>
              </w:rPr>
              <w:t>以上</w:t>
            </w:r>
          </w:p>
        </w:tc>
      </w:tr>
      <w:tr w14:paraId="7436C844">
        <w:tblPrEx>
          <w:tblCellMar>
            <w:top w:w="0" w:type="dxa"/>
            <w:left w:w="0" w:type="dxa"/>
            <w:bottom w:w="0" w:type="dxa"/>
            <w:right w:w="0" w:type="dxa"/>
          </w:tblCellMar>
        </w:tblPrEx>
        <w:trPr>
          <w:trHeight w:val="1208" w:hRule="atLeast"/>
          <w:jc w:val="center"/>
        </w:trPr>
        <w:tc>
          <w:tcPr>
            <w:tcW w:w="1734" w:type="dxa"/>
            <w:vMerge w:val="restart"/>
            <w:tcBorders>
              <w:top w:val="nil"/>
              <w:left w:val="single" w:color="auto" w:sz="4" w:space="0"/>
              <w:bottom w:val="single" w:color="auto" w:sz="4" w:space="0"/>
              <w:right w:val="single" w:color="auto" w:sz="4" w:space="0"/>
            </w:tcBorders>
            <w:vAlign w:val="center"/>
          </w:tcPr>
          <w:p w14:paraId="16AC34C8">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工程量清单编制</w:t>
            </w:r>
          </w:p>
        </w:tc>
        <w:tc>
          <w:tcPr>
            <w:tcW w:w="1434" w:type="dxa"/>
            <w:vMerge w:val="restart"/>
            <w:tcBorders>
              <w:top w:val="single" w:color="auto" w:sz="4" w:space="0"/>
              <w:left w:val="single" w:color="auto" w:sz="4" w:space="0"/>
              <w:right w:val="single" w:color="auto" w:sz="4" w:space="0"/>
            </w:tcBorders>
            <w:vAlign w:val="center"/>
          </w:tcPr>
          <w:p w14:paraId="73BC7F1C">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建筑、</w:t>
            </w:r>
          </w:p>
          <w:p w14:paraId="00E61425">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安装工程</w:t>
            </w:r>
          </w:p>
        </w:tc>
        <w:tc>
          <w:tcPr>
            <w:tcW w:w="546" w:type="dxa"/>
            <w:tcBorders>
              <w:top w:val="nil"/>
              <w:left w:val="nil"/>
              <w:right w:val="single" w:color="auto" w:sz="4" w:space="0"/>
            </w:tcBorders>
            <w:vAlign w:val="center"/>
          </w:tcPr>
          <w:p w14:paraId="09148390">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8.0</w:t>
            </w:r>
          </w:p>
        </w:tc>
        <w:tc>
          <w:tcPr>
            <w:tcW w:w="576" w:type="dxa"/>
            <w:tcBorders>
              <w:top w:val="nil"/>
              <w:left w:val="nil"/>
              <w:right w:val="single" w:color="auto" w:sz="4" w:space="0"/>
            </w:tcBorders>
            <w:vAlign w:val="center"/>
          </w:tcPr>
          <w:p w14:paraId="33A67C6F">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6.0</w:t>
            </w:r>
          </w:p>
        </w:tc>
        <w:tc>
          <w:tcPr>
            <w:tcW w:w="576" w:type="dxa"/>
            <w:tcBorders>
              <w:top w:val="nil"/>
              <w:left w:val="nil"/>
              <w:right w:val="single" w:color="auto" w:sz="4" w:space="0"/>
            </w:tcBorders>
            <w:vAlign w:val="center"/>
          </w:tcPr>
          <w:p w14:paraId="4827DDCB">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4.8</w:t>
            </w:r>
          </w:p>
        </w:tc>
        <w:tc>
          <w:tcPr>
            <w:tcW w:w="624" w:type="dxa"/>
            <w:tcBorders>
              <w:top w:val="nil"/>
              <w:left w:val="nil"/>
              <w:bottom w:val="single" w:color="auto" w:sz="4" w:space="0"/>
              <w:right w:val="single" w:color="auto" w:sz="4" w:space="0"/>
            </w:tcBorders>
            <w:vAlign w:val="center"/>
          </w:tcPr>
          <w:p w14:paraId="45000B59">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4.3</w:t>
            </w:r>
          </w:p>
        </w:tc>
        <w:tc>
          <w:tcPr>
            <w:tcW w:w="716" w:type="dxa"/>
            <w:tcBorders>
              <w:top w:val="nil"/>
              <w:left w:val="nil"/>
              <w:right w:val="single" w:color="auto" w:sz="4" w:space="0"/>
            </w:tcBorders>
            <w:vAlign w:val="center"/>
          </w:tcPr>
          <w:p w14:paraId="5DE9B4BB">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3.8</w:t>
            </w:r>
          </w:p>
        </w:tc>
        <w:tc>
          <w:tcPr>
            <w:tcW w:w="623" w:type="dxa"/>
            <w:tcBorders>
              <w:top w:val="nil"/>
              <w:left w:val="nil"/>
              <w:right w:val="single" w:color="auto" w:sz="4" w:space="0"/>
            </w:tcBorders>
            <w:vAlign w:val="center"/>
          </w:tcPr>
          <w:p w14:paraId="756DA510">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3.4</w:t>
            </w:r>
          </w:p>
        </w:tc>
        <w:tc>
          <w:tcPr>
            <w:tcW w:w="748" w:type="dxa"/>
            <w:tcBorders>
              <w:top w:val="nil"/>
              <w:left w:val="nil"/>
              <w:right w:val="single" w:color="auto" w:sz="4" w:space="0"/>
            </w:tcBorders>
            <w:vAlign w:val="center"/>
          </w:tcPr>
          <w:p w14:paraId="70B9626F">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3.0</w:t>
            </w:r>
          </w:p>
        </w:tc>
        <w:tc>
          <w:tcPr>
            <w:tcW w:w="796" w:type="dxa"/>
            <w:tcBorders>
              <w:top w:val="nil"/>
              <w:left w:val="nil"/>
              <w:right w:val="single" w:color="auto" w:sz="4" w:space="0"/>
            </w:tcBorders>
            <w:vAlign w:val="center"/>
          </w:tcPr>
          <w:p w14:paraId="289ECB94">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2.8</w:t>
            </w:r>
          </w:p>
        </w:tc>
        <w:tc>
          <w:tcPr>
            <w:tcW w:w="785" w:type="dxa"/>
            <w:tcBorders>
              <w:top w:val="nil"/>
              <w:left w:val="nil"/>
              <w:right w:val="single" w:color="auto" w:sz="4" w:space="0"/>
            </w:tcBorders>
            <w:vAlign w:val="center"/>
          </w:tcPr>
          <w:p w14:paraId="76705851">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2.5</w:t>
            </w:r>
          </w:p>
        </w:tc>
      </w:tr>
      <w:tr w14:paraId="7134313A">
        <w:tblPrEx>
          <w:tblCellMar>
            <w:top w:w="0" w:type="dxa"/>
            <w:left w:w="0" w:type="dxa"/>
            <w:bottom w:w="0" w:type="dxa"/>
            <w:right w:w="0" w:type="dxa"/>
          </w:tblCellMar>
        </w:tblPrEx>
        <w:trPr>
          <w:trHeight w:val="1200" w:hRule="atLeast"/>
          <w:jc w:val="center"/>
        </w:trPr>
        <w:tc>
          <w:tcPr>
            <w:tcW w:w="1734" w:type="dxa"/>
            <w:tcBorders>
              <w:top w:val="single" w:color="auto" w:sz="4" w:space="0"/>
              <w:left w:val="single" w:color="auto" w:sz="4" w:space="0"/>
              <w:bottom w:val="single" w:color="auto" w:sz="4" w:space="0"/>
              <w:right w:val="single" w:color="auto" w:sz="4" w:space="0"/>
            </w:tcBorders>
            <w:vAlign w:val="center"/>
          </w:tcPr>
          <w:p w14:paraId="7FE2575E">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最高投标限价</w:t>
            </w:r>
          </w:p>
        </w:tc>
        <w:tc>
          <w:tcPr>
            <w:tcW w:w="1434" w:type="dxa"/>
            <w:tcBorders>
              <w:top w:val="single" w:color="auto" w:sz="4" w:space="0"/>
              <w:left w:val="single" w:color="auto" w:sz="4" w:space="0"/>
              <w:right w:val="single" w:color="auto" w:sz="4" w:space="0"/>
            </w:tcBorders>
            <w:vAlign w:val="center"/>
          </w:tcPr>
          <w:p w14:paraId="3C3F3F34">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建筑、</w:t>
            </w:r>
          </w:p>
          <w:p w14:paraId="7218DADA">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安装工程</w:t>
            </w:r>
          </w:p>
        </w:tc>
        <w:tc>
          <w:tcPr>
            <w:tcW w:w="546" w:type="dxa"/>
            <w:tcBorders>
              <w:top w:val="single" w:color="auto" w:sz="4" w:space="0"/>
              <w:left w:val="single" w:color="auto" w:sz="4" w:space="0"/>
              <w:right w:val="single" w:color="auto" w:sz="4" w:space="0"/>
            </w:tcBorders>
            <w:vAlign w:val="center"/>
          </w:tcPr>
          <w:p w14:paraId="66056628">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3.0</w:t>
            </w:r>
          </w:p>
        </w:tc>
        <w:tc>
          <w:tcPr>
            <w:tcW w:w="576" w:type="dxa"/>
            <w:tcBorders>
              <w:top w:val="single" w:color="auto" w:sz="4" w:space="0"/>
              <w:left w:val="single" w:color="auto" w:sz="4" w:space="0"/>
              <w:right w:val="single" w:color="auto" w:sz="4" w:space="0"/>
            </w:tcBorders>
            <w:vAlign w:val="center"/>
          </w:tcPr>
          <w:p w14:paraId="4ABBA095">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2.5</w:t>
            </w:r>
          </w:p>
        </w:tc>
        <w:tc>
          <w:tcPr>
            <w:tcW w:w="576" w:type="dxa"/>
            <w:tcBorders>
              <w:top w:val="single" w:color="auto" w:sz="4" w:space="0"/>
              <w:left w:val="single" w:color="auto" w:sz="4" w:space="0"/>
              <w:right w:val="single" w:color="auto" w:sz="4" w:space="0"/>
            </w:tcBorders>
            <w:vAlign w:val="center"/>
          </w:tcPr>
          <w:p w14:paraId="795F279A">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2.0</w:t>
            </w:r>
          </w:p>
        </w:tc>
        <w:tc>
          <w:tcPr>
            <w:tcW w:w="624" w:type="dxa"/>
            <w:tcBorders>
              <w:top w:val="single" w:color="auto" w:sz="4" w:space="0"/>
              <w:left w:val="single" w:color="auto" w:sz="4" w:space="0"/>
              <w:right w:val="single" w:color="auto" w:sz="4" w:space="0"/>
            </w:tcBorders>
            <w:vAlign w:val="center"/>
          </w:tcPr>
          <w:p w14:paraId="15503CFD">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1.8</w:t>
            </w:r>
          </w:p>
        </w:tc>
        <w:tc>
          <w:tcPr>
            <w:tcW w:w="716" w:type="dxa"/>
            <w:tcBorders>
              <w:top w:val="single" w:color="auto" w:sz="4" w:space="0"/>
              <w:left w:val="single" w:color="auto" w:sz="4" w:space="0"/>
              <w:right w:val="single" w:color="auto" w:sz="4" w:space="0"/>
            </w:tcBorders>
            <w:vAlign w:val="center"/>
          </w:tcPr>
          <w:p w14:paraId="11EEF2BB">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1.6</w:t>
            </w:r>
          </w:p>
        </w:tc>
        <w:tc>
          <w:tcPr>
            <w:tcW w:w="623" w:type="dxa"/>
            <w:tcBorders>
              <w:top w:val="single" w:color="auto" w:sz="4" w:space="0"/>
              <w:left w:val="single" w:color="auto" w:sz="4" w:space="0"/>
              <w:right w:val="single" w:color="auto" w:sz="4" w:space="0"/>
            </w:tcBorders>
            <w:vAlign w:val="center"/>
          </w:tcPr>
          <w:p w14:paraId="79F55985">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1.4</w:t>
            </w:r>
          </w:p>
        </w:tc>
        <w:tc>
          <w:tcPr>
            <w:tcW w:w="748" w:type="dxa"/>
            <w:tcBorders>
              <w:top w:val="single" w:color="auto" w:sz="4" w:space="0"/>
              <w:left w:val="single" w:color="auto" w:sz="4" w:space="0"/>
              <w:right w:val="single" w:color="auto" w:sz="4" w:space="0"/>
            </w:tcBorders>
            <w:vAlign w:val="center"/>
          </w:tcPr>
          <w:p w14:paraId="63A23F60">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1.3</w:t>
            </w:r>
          </w:p>
        </w:tc>
        <w:tc>
          <w:tcPr>
            <w:tcW w:w="796" w:type="dxa"/>
            <w:tcBorders>
              <w:top w:val="single" w:color="auto" w:sz="4" w:space="0"/>
              <w:left w:val="single" w:color="auto" w:sz="4" w:space="0"/>
              <w:right w:val="single" w:color="auto" w:sz="4" w:space="0"/>
            </w:tcBorders>
            <w:vAlign w:val="center"/>
          </w:tcPr>
          <w:p w14:paraId="2C8097D9">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1.2</w:t>
            </w:r>
          </w:p>
        </w:tc>
        <w:tc>
          <w:tcPr>
            <w:tcW w:w="785" w:type="dxa"/>
            <w:tcBorders>
              <w:top w:val="single" w:color="auto" w:sz="4" w:space="0"/>
              <w:left w:val="single" w:color="auto" w:sz="4" w:space="0"/>
              <w:bottom w:val="single" w:color="auto" w:sz="4" w:space="0"/>
              <w:right w:val="single" w:color="auto" w:sz="4" w:space="0"/>
            </w:tcBorders>
            <w:vAlign w:val="center"/>
          </w:tcPr>
          <w:p w14:paraId="45AF6A9F">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1.1</w:t>
            </w:r>
          </w:p>
        </w:tc>
      </w:tr>
      <w:tr w14:paraId="2CD8E1DE">
        <w:tblPrEx>
          <w:tblCellMar>
            <w:top w:w="0" w:type="dxa"/>
            <w:left w:w="0" w:type="dxa"/>
            <w:bottom w:w="0" w:type="dxa"/>
            <w:right w:w="0" w:type="dxa"/>
          </w:tblCellMar>
        </w:tblPrEx>
        <w:trPr>
          <w:trHeight w:val="651" w:hRule="atLeast"/>
          <w:jc w:val="center"/>
        </w:trPr>
        <w:tc>
          <w:tcPr>
            <w:tcW w:w="3168" w:type="dxa"/>
            <w:gridSpan w:val="2"/>
            <w:tcBorders>
              <w:top w:val="single" w:color="auto" w:sz="4" w:space="0"/>
              <w:left w:val="single" w:color="auto" w:sz="4" w:space="0"/>
              <w:bottom w:val="single" w:color="auto" w:sz="4" w:space="0"/>
              <w:right w:val="single" w:color="auto" w:sz="4" w:space="0"/>
            </w:tcBorders>
            <w:vAlign w:val="center"/>
          </w:tcPr>
          <w:p w14:paraId="0DB7B912">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钢筋及预埋件计算</w:t>
            </w:r>
          </w:p>
        </w:tc>
        <w:tc>
          <w:tcPr>
            <w:tcW w:w="5990" w:type="dxa"/>
            <w:gridSpan w:val="9"/>
            <w:tcBorders>
              <w:top w:val="single" w:color="auto" w:sz="4" w:space="0"/>
              <w:left w:val="single" w:color="auto" w:sz="4" w:space="0"/>
              <w:bottom w:val="single" w:color="auto" w:sz="4" w:space="0"/>
              <w:right w:val="single" w:color="auto" w:sz="4" w:space="0"/>
            </w:tcBorders>
            <w:vAlign w:val="center"/>
          </w:tcPr>
          <w:p w14:paraId="549ED5CB">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12元/吨</w:t>
            </w:r>
          </w:p>
        </w:tc>
      </w:tr>
    </w:tbl>
    <w:p w14:paraId="6194BC72">
      <w:pPr>
        <w:pStyle w:val="5"/>
        <w:keepNext w:val="0"/>
        <w:keepLines w:val="0"/>
        <w:pageBreakBefore w:val="0"/>
        <w:widowControl/>
        <w:kinsoku/>
        <w:wordWrap/>
        <w:overflowPunct/>
        <w:topLinePunct w:val="0"/>
        <w:autoSpaceDE/>
        <w:autoSpaceDN/>
        <w:bidi w:val="0"/>
        <w:adjustRightInd w:val="0"/>
        <w:snapToGrid w:val="0"/>
        <w:spacing w:line="500" w:lineRule="exact"/>
        <w:ind w:firstLine="480" w:firstLineChars="200"/>
        <w:textAlignment w:val="auto"/>
        <w:rPr>
          <w:rFonts w:hAnsi="宋体" w:eastAsia="宋体" w:cs="宋体"/>
          <w:color w:val="auto"/>
          <w:sz w:val="24"/>
          <w:szCs w:val="24"/>
        </w:rPr>
      </w:pPr>
      <w:r>
        <w:rPr>
          <w:rFonts w:hint="eastAsia" w:hAnsi="宋体" w:eastAsia="宋体" w:cs="宋体"/>
          <w:color w:val="auto"/>
          <w:sz w:val="24"/>
          <w:szCs w:val="24"/>
        </w:rPr>
        <w:t>说明： ①按上述收费标准计算不足 1000 元的，按 1000 元计费。</w:t>
      </w:r>
    </w:p>
    <w:p w14:paraId="728ED63D">
      <w:pPr>
        <w:pStyle w:val="5"/>
        <w:keepNext w:val="0"/>
        <w:keepLines w:val="0"/>
        <w:pageBreakBefore w:val="0"/>
        <w:widowControl/>
        <w:kinsoku/>
        <w:wordWrap/>
        <w:overflowPunct/>
        <w:topLinePunct w:val="0"/>
        <w:autoSpaceDE/>
        <w:autoSpaceDN/>
        <w:bidi w:val="0"/>
        <w:adjustRightInd w:val="0"/>
        <w:snapToGrid w:val="0"/>
        <w:spacing w:line="500" w:lineRule="exact"/>
        <w:ind w:firstLine="480" w:firstLineChars="200"/>
        <w:textAlignment w:val="auto"/>
        <w:rPr>
          <w:rFonts w:hAnsi="宋体" w:eastAsia="宋体" w:cs="宋体"/>
          <w:color w:val="auto"/>
          <w:sz w:val="24"/>
          <w:szCs w:val="24"/>
        </w:rPr>
      </w:pPr>
      <w:r>
        <w:rPr>
          <w:rFonts w:hint="eastAsia" w:hAnsi="宋体" w:eastAsia="宋体" w:cs="宋体"/>
          <w:color w:val="auto"/>
          <w:sz w:val="24"/>
          <w:szCs w:val="24"/>
        </w:rPr>
        <w:t>② “建筑工程”适用建筑工程及配套的装饰工程、安装工程；市政工程等。“安装工程”适用单独安装工程、装饰工程（含二次装饰装修）；房屋修缮；园林绿化及仿古建筑工程等。</w:t>
      </w:r>
    </w:p>
    <w:p w14:paraId="209DE63A">
      <w:pPr>
        <w:keepNext w:val="0"/>
        <w:keepLines w:val="0"/>
        <w:pageBreakBefore w:val="0"/>
        <w:widowControl/>
        <w:wordWrap/>
        <w:overflowPunct/>
        <w:topLinePunct w:val="0"/>
        <w:bidi w:val="0"/>
        <w:adjustRightInd w:val="0"/>
        <w:snapToGrid w:val="0"/>
        <w:spacing w:line="500" w:lineRule="exact"/>
        <w:rPr>
          <w:rFonts w:ascii="宋体" w:hAnsi="宋体" w:eastAsia="宋体" w:cs="宋体"/>
          <w:sz w:val="24"/>
          <w:szCs w:val="24"/>
        </w:rPr>
      </w:pPr>
      <w:r>
        <w:rPr>
          <w:rFonts w:hint="eastAsia" w:ascii="宋体" w:hAnsi="宋体" w:eastAsia="宋体" w:cs="宋体"/>
          <w:sz w:val="24"/>
          <w:szCs w:val="24"/>
        </w:rPr>
        <w:t>十二、成交供应商须知</w:t>
      </w:r>
    </w:p>
    <w:p w14:paraId="382656C2">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1.分包规定:成交供应商不得在成交后将工程整体转包或肢解分包给其它施工单位。一经发现，发包人有权取消合同，履约保证金不予退还，并追偿其他相关损失。</w:t>
      </w:r>
    </w:p>
    <w:p w14:paraId="5DA524F5">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本工程取、弃土点由施工单位自行解决，承包人应综合考虑经济运距及其他可能增加成本的因素，且渣土运输必须由安庆市城管执法局核准的具有建筑垃圾运输资质的运输企业承担。承包人必须充分了解安庆渣土公司运输行情，中标后不做调整。</w:t>
      </w:r>
    </w:p>
    <w:p w14:paraId="28663307">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3.成交供应商应按照与本工程施工和施工安全相关的国家现行的各专业工程施工及验收规范、建设工程质量检验评定标准、有关的技术标准以及施工图所示的有关图集、标准进行施</w:t>
      </w:r>
      <w:r>
        <w:rPr>
          <w:rFonts w:hint="eastAsia" w:ascii="宋体" w:hAnsi="宋体" w:eastAsia="宋体" w:cs="宋体"/>
          <w:sz w:val="24"/>
          <w:szCs w:val="24"/>
          <w:lang w:val="en-US" w:eastAsia="zh-CN"/>
        </w:rPr>
        <w:t>工。</w:t>
      </w:r>
    </w:p>
    <w:p w14:paraId="2017A54D">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4.成交供应商负责协调现场施工环境、处理好各方矛盾，并承担协调费用。对于施工过程中损坏的设备、设施和已有建筑、道路等负责按照原样无条件恢复。</w:t>
      </w:r>
    </w:p>
    <w:p w14:paraId="551F8C72">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5.本项目合同参照在安庆市公共资源交易中心网站“办事指南下载中心”下载的合同文件。</w:t>
      </w:r>
    </w:p>
    <w:p w14:paraId="7C6B0335">
      <w:pPr>
        <w:keepNext w:val="0"/>
        <w:keepLines w:val="0"/>
        <w:pageBreakBefore w:val="0"/>
        <w:widowControl/>
        <w:wordWrap/>
        <w:overflowPunct/>
        <w:topLinePunct w:val="0"/>
        <w:bidi w:val="0"/>
        <w:adjustRightInd w:val="0"/>
        <w:snapToGrid w:val="0"/>
        <w:spacing w:line="500" w:lineRule="exact"/>
        <w:ind w:firstLine="480" w:firstLineChars="200"/>
        <w:rPr>
          <w:rFonts w:ascii="宋体" w:hAnsi="宋体" w:eastAsia="宋体" w:cs="宋体"/>
          <w:sz w:val="24"/>
          <w:szCs w:val="24"/>
        </w:rPr>
      </w:pPr>
      <w:r>
        <w:rPr>
          <w:rFonts w:hint="eastAsia" w:ascii="宋体" w:hAnsi="宋体" w:eastAsia="宋体" w:cs="宋体"/>
          <w:sz w:val="24"/>
          <w:szCs w:val="24"/>
        </w:rPr>
        <w:t>6.合同文件组成及优先顺序为</w:t>
      </w:r>
      <w:r>
        <w:rPr>
          <w:rFonts w:hint="eastAsia" w:ascii="宋体" w:hAnsi="宋体" w:eastAsia="宋体" w:cs="宋体"/>
          <w:sz w:val="24"/>
          <w:szCs w:val="24"/>
          <w:lang w:eastAsia="zh-CN"/>
        </w:rPr>
        <w:t>：</w:t>
      </w:r>
      <w:r>
        <w:rPr>
          <w:rFonts w:hint="eastAsia" w:ascii="宋体" w:hAnsi="宋体" w:eastAsia="宋体" w:cs="宋体"/>
          <w:sz w:val="24"/>
          <w:szCs w:val="24"/>
        </w:rPr>
        <w:t>(1)成交通知书；(2)交易文件；(3)合同协议书；(4)合同专用条款；(5)合同通用条款；(6)列入合同的投标辅助资料。</w:t>
      </w:r>
    </w:p>
    <w:p w14:paraId="2A3D73E5">
      <w:pPr>
        <w:keepNext w:val="0"/>
        <w:keepLines w:val="0"/>
        <w:pageBreakBefore w:val="0"/>
        <w:widowControl/>
        <w:wordWrap/>
        <w:overflowPunct/>
        <w:topLinePunct w:val="0"/>
        <w:bidi w:val="0"/>
        <w:adjustRightInd w:val="0"/>
        <w:snapToGrid w:val="0"/>
        <w:spacing w:line="440" w:lineRule="exact"/>
        <w:rPr>
          <w:rFonts w:ascii="宋体" w:hAnsi="宋体" w:eastAsia="宋体" w:cs="宋体"/>
          <w:sz w:val="24"/>
          <w:szCs w:val="24"/>
        </w:rPr>
      </w:pPr>
    </w:p>
    <w:sectPr>
      <w:footerReference r:id="rId4" w:type="default"/>
      <w:pgSz w:w="11906" w:h="16839"/>
      <w:pgMar w:top="1431" w:right="1298" w:bottom="1429" w:left="1298" w:header="0" w:footer="103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646AD">
    <w:pPr>
      <w:pStyle w:val="6"/>
      <w:tabs>
        <w:tab w:val="center" w:pos="4403"/>
        <w:tab w:val="clear" w:pos="4153"/>
      </w:tabs>
    </w:pPr>
    <w:r>
      <w:rPr>
        <w:rFonts w:hint="eastAsia" w:eastAsia="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57586">
    <w:pPr>
      <w:spacing w:line="116" w:lineRule="exact"/>
      <w:ind w:firstLine="4214"/>
      <w:rPr>
        <w:rFonts w:ascii="Calibri" w:hAnsi="Calibri" w:eastAsia="Calibri" w:cs="Calibri"/>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F5EB1A">
                          <w:pPr>
                            <w:pStyle w:val="6"/>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BF5EB1A">
                    <w:pPr>
                      <w:pStyle w:val="6"/>
                    </w:pPr>
                    <w:r>
                      <w:fldChar w:fldCharType="begin"/>
                    </w:r>
                    <w:r>
                      <w:instrText xml:space="preserve"> PAGE  \* MERGEFORMAT </w:instrText>
                    </w:r>
                    <w:r>
                      <w:fldChar w:fldCharType="separate"/>
                    </w:r>
                    <w:r>
                      <w:t>12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WZlMmFkYWRkOTRjNjYzN2ZhMzc4ODZjMjI0NTUxOTYifQ=="/>
    <w:docVar w:name="KSO_WPS_MARK_KEY" w:val="3e3ccc6c-5582-45a7-a7a4-05f0e8738c7a"/>
  </w:docVars>
  <w:rsids>
    <w:rsidRoot w:val="00230CA7"/>
    <w:rsid w:val="00005402"/>
    <w:rsid w:val="00093C40"/>
    <w:rsid w:val="000950F9"/>
    <w:rsid w:val="001A2968"/>
    <w:rsid w:val="00230CA7"/>
    <w:rsid w:val="002B0767"/>
    <w:rsid w:val="00303DB9"/>
    <w:rsid w:val="0039432E"/>
    <w:rsid w:val="005742F9"/>
    <w:rsid w:val="005B33AA"/>
    <w:rsid w:val="006E6810"/>
    <w:rsid w:val="00773916"/>
    <w:rsid w:val="00847DE1"/>
    <w:rsid w:val="008C42ED"/>
    <w:rsid w:val="008E5457"/>
    <w:rsid w:val="009C512B"/>
    <w:rsid w:val="00A3295D"/>
    <w:rsid w:val="00A42056"/>
    <w:rsid w:val="00B701B7"/>
    <w:rsid w:val="00BC757B"/>
    <w:rsid w:val="00C659F1"/>
    <w:rsid w:val="00C95D5E"/>
    <w:rsid w:val="00EF00B2"/>
    <w:rsid w:val="00FB0D02"/>
    <w:rsid w:val="012A0989"/>
    <w:rsid w:val="014710F8"/>
    <w:rsid w:val="016F0A91"/>
    <w:rsid w:val="01B207DF"/>
    <w:rsid w:val="01B9241C"/>
    <w:rsid w:val="01C26E13"/>
    <w:rsid w:val="01D37272"/>
    <w:rsid w:val="01D6466C"/>
    <w:rsid w:val="01EA2E81"/>
    <w:rsid w:val="022278B2"/>
    <w:rsid w:val="022B2C0A"/>
    <w:rsid w:val="02300221"/>
    <w:rsid w:val="02353A89"/>
    <w:rsid w:val="026B3007"/>
    <w:rsid w:val="029D518A"/>
    <w:rsid w:val="02A8425B"/>
    <w:rsid w:val="02E4100B"/>
    <w:rsid w:val="03015719"/>
    <w:rsid w:val="038172B7"/>
    <w:rsid w:val="038A7E04"/>
    <w:rsid w:val="03944F6A"/>
    <w:rsid w:val="03BD3D36"/>
    <w:rsid w:val="03CF3A69"/>
    <w:rsid w:val="03D472D2"/>
    <w:rsid w:val="03D64DF8"/>
    <w:rsid w:val="040C2427"/>
    <w:rsid w:val="041D6583"/>
    <w:rsid w:val="04293179"/>
    <w:rsid w:val="044C50BA"/>
    <w:rsid w:val="045E08D3"/>
    <w:rsid w:val="045F303F"/>
    <w:rsid w:val="04F30983"/>
    <w:rsid w:val="04FF3EDA"/>
    <w:rsid w:val="05143E2A"/>
    <w:rsid w:val="051F15AE"/>
    <w:rsid w:val="053B7608"/>
    <w:rsid w:val="054D10C0"/>
    <w:rsid w:val="056A57F8"/>
    <w:rsid w:val="05C50C80"/>
    <w:rsid w:val="05D67772"/>
    <w:rsid w:val="05ED6429"/>
    <w:rsid w:val="060E0879"/>
    <w:rsid w:val="06163BD1"/>
    <w:rsid w:val="063046E0"/>
    <w:rsid w:val="06652463"/>
    <w:rsid w:val="067F1777"/>
    <w:rsid w:val="068E2376"/>
    <w:rsid w:val="06992C2A"/>
    <w:rsid w:val="069A3EBB"/>
    <w:rsid w:val="06A05249"/>
    <w:rsid w:val="06C453DB"/>
    <w:rsid w:val="06CB676A"/>
    <w:rsid w:val="06F757B1"/>
    <w:rsid w:val="06FC6923"/>
    <w:rsid w:val="06FD269B"/>
    <w:rsid w:val="07013F3A"/>
    <w:rsid w:val="070C28DE"/>
    <w:rsid w:val="07224C2D"/>
    <w:rsid w:val="07247C28"/>
    <w:rsid w:val="073F2CB4"/>
    <w:rsid w:val="077566D6"/>
    <w:rsid w:val="077A3CEC"/>
    <w:rsid w:val="078B414B"/>
    <w:rsid w:val="079C0106"/>
    <w:rsid w:val="07B05960"/>
    <w:rsid w:val="07D93108"/>
    <w:rsid w:val="080261BB"/>
    <w:rsid w:val="080A32C2"/>
    <w:rsid w:val="081E3889"/>
    <w:rsid w:val="083E2F6B"/>
    <w:rsid w:val="08730E67"/>
    <w:rsid w:val="088968DD"/>
    <w:rsid w:val="08935065"/>
    <w:rsid w:val="08A234FA"/>
    <w:rsid w:val="08A6123D"/>
    <w:rsid w:val="08A92ADB"/>
    <w:rsid w:val="08A96637"/>
    <w:rsid w:val="08BE04FA"/>
    <w:rsid w:val="08C43471"/>
    <w:rsid w:val="08C6368D"/>
    <w:rsid w:val="08C96CD9"/>
    <w:rsid w:val="08D833C0"/>
    <w:rsid w:val="08E91129"/>
    <w:rsid w:val="08ED6E6B"/>
    <w:rsid w:val="08F5187C"/>
    <w:rsid w:val="090B72F2"/>
    <w:rsid w:val="091A1B9B"/>
    <w:rsid w:val="092E2FE0"/>
    <w:rsid w:val="094648A7"/>
    <w:rsid w:val="096609CC"/>
    <w:rsid w:val="09795E21"/>
    <w:rsid w:val="09976DD7"/>
    <w:rsid w:val="09A92667"/>
    <w:rsid w:val="09AA6B0A"/>
    <w:rsid w:val="09BE234F"/>
    <w:rsid w:val="09CD685D"/>
    <w:rsid w:val="09D122E9"/>
    <w:rsid w:val="09DC47EA"/>
    <w:rsid w:val="09EA5159"/>
    <w:rsid w:val="09EF6C13"/>
    <w:rsid w:val="0A1E12A6"/>
    <w:rsid w:val="0A20501F"/>
    <w:rsid w:val="0AAE262A"/>
    <w:rsid w:val="0ABB4D47"/>
    <w:rsid w:val="0ABF0394"/>
    <w:rsid w:val="0AD96F7B"/>
    <w:rsid w:val="0B073AE9"/>
    <w:rsid w:val="0B320D04"/>
    <w:rsid w:val="0B3D750A"/>
    <w:rsid w:val="0B4E7916"/>
    <w:rsid w:val="0B64718D"/>
    <w:rsid w:val="0BBA4FFF"/>
    <w:rsid w:val="0BD75BB1"/>
    <w:rsid w:val="0BE65DF4"/>
    <w:rsid w:val="0BEA7692"/>
    <w:rsid w:val="0C3C77C2"/>
    <w:rsid w:val="0C452B1A"/>
    <w:rsid w:val="0C721436"/>
    <w:rsid w:val="0C790A16"/>
    <w:rsid w:val="0C8A677F"/>
    <w:rsid w:val="0CAF4D5A"/>
    <w:rsid w:val="0CB97065"/>
    <w:rsid w:val="0CC632E2"/>
    <w:rsid w:val="0CD345CA"/>
    <w:rsid w:val="0CE42333"/>
    <w:rsid w:val="0CE71E24"/>
    <w:rsid w:val="0CEA0417"/>
    <w:rsid w:val="0CF12CA2"/>
    <w:rsid w:val="0D2F33FE"/>
    <w:rsid w:val="0D58687D"/>
    <w:rsid w:val="0D7731A8"/>
    <w:rsid w:val="0D774F56"/>
    <w:rsid w:val="0D7A67F4"/>
    <w:rsid w:val="0D8B6C53"/>
    <w:rsid w:val="0D8E6743"/>
    <w:rsid w:val="0D907DC5"/>
    <w:rsid w:val="0E0D58BA"/>
    <w:rsid w:val="0E100F06"/>
    <w:rsid w:val="0E1F739B"/>
    <w:rsid w:val="0E211365"/>
    <w:rsid w:val="0E8518F4"/>
    <w:rsid w:val="0E9F5DF3"/>
    <w:rsid w:val="0EB931CD"/>
    <w:rsid w:val="0ED329F8"/>
    <w:rsid w:val="0F0942D3"/>
    <w:rsid w:val="0F136F00"/>
    <w:rsid w:val="0F1A7365"/>
    <w:rsid w:val="0F256C33"/>
    <w:rsid w:val="0F2F360E"/>
    <w:rsid w:val="0F3D3F7D"/>
    <w:rsid w:val="0F5B4403"/>
    <w:rsid w:val="0F694D72"/>
    <w:rsid w:val="0F73174D"/>
    <w:rsid w:val="0F753717"/>
    <w:rsid w:val="0FF7237E"/>
    <w:rsid w:val="101D790A"/>
    <w:rsid w:val="10280789"/>
    <w:rsid w:val="102F7D69"/>
    <w:rsid w:val="105E23FD"/>
    <w:rsid w:val="107439CE"/>
    <w:rsid w:val="107E484D"/>
    <w:rsid w:val="107F4121"/>
    <w:rsid w:val="10AC13BA"/>
    <w:rsid w:val="10D206F5"/>
    <w:rsid w:val="10F16DCD"/>
    <w:rsid w:val="11005262"/>
    <w:rsid w:val="110F36F7"/>
    <w:rsid w:val="111E393A"/>
    <w:rsid w:val="113118BF"/>
    <w:rsid w:val="115B5F20"/>
    <w:rsid w:val="115D446A"/>
    <w:rsid w:val="11692E07"/>
    <w:rsid w:val="117143B2"/>
    <w:rsid w:val="11895257"/>
    <w:rsid w:val="1198193E"/>
    <w:rsid w:val="11DD23BF"/>
    <w:rsid w:val="12154D3D"/>
    <w:rsid w:val="125A6BF4"/>
    <w:rsid w:val="12883761"/>
    <w:rsid w:val="12AD766B"/>
    <w:rsid w:val="12EC1F42"/>
    <w:rsid w:val="13031039"/>
    <w:rsid w:val="13053004"/>
    <w:rsid w:val="130B3C67"/>
    <w:rsid w:val="13430676"/>
    <w:rsid w:val="13497394"/>
    <w:rsid w:val="13561AB1"/>
    <w:rsid w:val="13FD017F"/>
    <w:rsid w:val="140B63F8"/>
    <w:rsid w:val="142474B9"/>
    <w:rsid w:val="14587163"/>
    <w:rsid w:val="1468384A"/>
    <w:rsid w:val="14733F9D"/>
    <w:rsid w:val="147F0E74"/>
    <w:rsid w:val="149411FE"/>
    <w:rsid w:val="149C05C1"/>
    <w:rsid w:val="149C1746"/>
    <w:rsid w:val="14A8633C"/>
    <w:rsid w:val="14B44CE1"/>
    <w:rsid w:val="14CB3DD9"/>
    <w:rsid w:val="14EA425F"/>
    <w:rsid w:val="15035321"/>
    <w:rsid w:val="150D619F"/>
    <w:rsid w:val="150F0169"/>
    <w:rsid w:val="151D2641"/>
    <w:rsid w:val="15315023"/>
    <w:rsid w:val="154755A3"/>
    <w:rsid w:val="154C316C"/>
    <w:rsid w:val="15512530"/>
    <w:rsid w:val="159468C1"/>
    <w:rsid w:val="15AE34DE"/>
    <w:rsid w:val="15C56A7A"/>
    <w:rsid w:val="15E112E6"/>
    <w:rsid w:val="160B6B83"/>
    <w:rsid w:val="161A6DC6"/>
    <w:rsid w:val="161F3AC3"/>
    <w:rsid w:val="16287463"/>
    <w:rsid w:val="162E0AC3"/>
    <w:rsid w:val="16560BDD"/>
    <w:rsid w:val="1662251B"/>
    <w:rsid w:val="16783AEC"/>
    <w:rsid w:val="167F4E7B"/>
    <w:rsid w:val="16A6065A"/>
    <w:rsid w:val="16B70AB9"/>
    <w:rsid w:val="16F2564D"/>
    <w:rsid w:val="170A0BE8"/>
    <w:rsid w:val="17365E81"/>
    <w:rsid w:val="17563E2E"/>
    <w:rsid w:val="1768590F"/>
    <w:rsid w:val="177469AA"/>
    <w:rsid w:val="179D1A5D"/>
    <w:rsid w:val="17A56B63"/>
    <w:rsid w:val="17DD454F"/>
    <w:rsid w:val="18153CE9"/>
    <w:rsid w:val="181949BB"/>
    <w:rsid w:val="181D494B"/>
    <w:rsid w:val="182A0E16"/>
    <w:rsid w:val="184C7E9A"/>
    <w:rsid w:val="185145F5"/>
    <w:rsid w:val="1853036D"/>
    <w:rsid w:val="18626802"/>
    <w:rsid w:val="187A7FF0"/>
    <w:rsid w:val="187F5606"/>
    <w:rsid w:val="18976C1A"/>
    <w:rsid w:val="18982224"/>
    <w:rsid w:val="18B057C0"/>
    <w:rsid w:val="18CD6371"/>
    <w:rsid w:val="192D6E10"/>
    <w:rsid w:val="1934019F"/>
    <w:rsid w:val="1935655D"/>
    <w:rsid w:val="19445F08"/>
    <w:rsid w:val="196F567B"/>
    <w:rsid w:val="1977452F"/>
    <w:rsid w:val="19AE15B9"/>
    <w:rsid w:val="19B60574"/>
    <w:rsid w:val="19BE3F0C"/>
    <w:rsid w:val="19C72DC1"/>
    <w:rsid w:val="19DC4392"/>
    <w:rsid w:val="19F33BB6"/>
    <w:rsid w:val="19F90548"/>
    <w:rsid w:val="1A0C4C78"/>
    <w:rsid w:val="1A11228E"/>
    <w:rsid w:val="1A141D7E"/>
    <w:rsid w:val="1A206975"/>
    <w:rsid w:val="1A2975D8"/>
    <w:rsid w:val="1A2C356C"/>
    <w:rsid w:val="1A4E703E"/>
    <w:rsid w:val="1A5415AE"/>
    <w:rsid w:val="1A5F56EF"/>
    <w:rsid w:val="1A622AE9"/>
    <w:rsid w:val="1A6C3968"/>
    <w:rsid w:val="1A7D3DC7"/>
    <w:rsid w:val="1AA72BF2"/>
    <w:rsid w:val="1AE45BF4"/>
    <w:rsid w:val="1AF16BF5"/>
    <w:rsid w:val="1B18764C"/>
    <w:rsid w:val="1B1A33C4"/>
    <w:rsid w:val="1B3C158C"/>
    <w:rsid w:val="1B6A434C"/>
    <w:rsid w:val="1BA84E74"/>
    <w:rsid w:val="1BBB6955"/>
    <w:rsid w:val="1BF41E67"/>
    <w:rsid w:val="1BFB31F6"/>
    <w:rsid w:val="1C0C7DBB"/>
    <w:rsid w:val="1C112A19"/>
    <w:rsid w:val="1C192405"/>
    <w:rsid w:val="1C19367C"/>
    <w:rsid w:val="1C365FDC"/>
    <w:rsid w:val="1C424981"/>
    <w:rsid w:val="1C485D0F"/>
    <w:rsid w:val="1C5F3784"/>
    <w:rsid w:val="1C7D00AF"/>
    <w:rsid w:val="1C9378D2"/>
    <w:rsid w:val="1CC23D13"/>
    <w:rsid w:val="1CC47A8B"/>
    <w:rsid w:val="1CD13F56"/>
    <w:rsid w:val="1CD852E5"/>
    <w:rsid w:val="1CDA2E0B"/>
    <w:rsid w:val="1CE912A0"/>
    <w:rsid w:val="1CFC0FD3"/>
    <w:rsid w:val="1CFF485C"/>
    <w:rsid w:val="1D3C5874"/>
    <w:rsid w:val="1D3D530A"/>
    <w:rsid w:val="1D436C02"/>
    <w:rsid w:val="1D4B145B"/>
    <w:rsid w:val="1D4E37F9"/>
    <w:rsid w:val="1D8F3109"/>
    <w:rsid w:val="1D905BC0"/>
    <w:rsid w:val="1DA424E0"/>
    <w:rsid w:val="1DB93368"/>
    <w:rsid w:val="1DF03180"/>
    <w:rsid w:val="1E0255DB"/>
    <w:rsid w:val="1E0C053F"/>
    <w:rsid w:val="1E3429EF"/>
    <w:rsid w:val="1E3E386E"/>
    <w:rsid w:val="1E4470D6"/>
    <w:rsid w:val="1E4D7D1B"/>
    <w:rsid w:val="1E7352C5"/>
    <w:rsid w:val="1E764DB5"/>
    <w:rsid w:val="1E7A2AF8"/>
    <w:rsid w:val="1E91087B"/>
    <w:rsid w:val="1ECB5101"/>
    <w:rsid w:val="1ED815CC"/>
    <w:rsid w:val="1EEE2B9E"/>
    <w:rsid w:val="1F5844BB"/>
    <w:rsid w:val="1F973235"/>
    <w:rsid w:val="1F9A2D26"/>
    <w:rsid w:val="1FA94D17"/>
    <w:rsid w:val="1FB21E1D"/>
    <w:rsid w:val="1FB931AC"/>
    <w:rsid w:val="1FDC6E9A"/>
    <w:rsid w:val="1FDE70B6"/>
    <w:rsid w:val="1FED72F9"/>
    <w:rsid w:val="1FF40688"/>
    <w:rsid w:val="2000527E"/>
    <w:rsid w:val="20024DEA"/>
    <w:rsid w:val="200A1C59"/>
    <w:rsid w:val="20142AD8"/>
    <w:rsid w:val="201D27FE"/>
    <w:rsid w:val="203E7B55"/>
    <w:rsid w:val="20653333"/>
    <w:rsid w:val="20692E24"/>
    <w:rsid w:val="207D68CF"/>
    <w:rsid w:val="20C55B80"/>
    <w:rsid w:val="21093CBF"/>
    <w:rsid w:val="2126121F"/>
    <w:rsid w:val="212C5BFF"/>
    <w:rsid w:val="212E5E1B"/>
    <w:rsid w:val="214473ED"/>
    <w:rsid w:val="21472A39"/>
    <w:rsid w:val="21703D3E"/>
    <w:rsid w:val="21821CC3"/>
    <w:rsid w:val="21843C8D"/>
    <w:rsid w:val="21B209BC"/>
    <w:rsid w:val="21E64000"/>
    <w:rsid w:val="21F229A5"/>
    <w:rsid w:val="21F7620D"/>
    <w:rsid w:val="221C2118"/>
    <w:rsid w:val="22356D36"/>
    <w:rsid w:val="22543660"/>
    <w:rsid w:val="2255003C"/>
    <w:rsid w:val="226118D9"/>
    <w:rsid w:val="22833F45"/>
    <w:rsid w:val="22B8599C"/>
    <w:rsid w:val="22E542B8"/>
    <w:rsid w:val="22F17100"/>
    <w:rsid w:val="230706D2"/>
    <w:rsid w:val="23112E90"/>
    <w:rsid w:val="23182050"/>
    <w:rsid w:val="23243152"/>
    <w:rsid w:val="233A4603"/>
    <w:rsid w:val="237815D0"/>
    <w:rsid w:val="238C0BD7"/>
    <w:rsid w:val="23BA1BE8"/>
    <w:rsid w:val="24172B97"/>
    <w:rsid w:val="241C1F5B"/>
    <w:rsid w:val="2443398C"/>
    <w:rsid w:val="245C2B17"/>
    <w:rsid w:val="24853FA4"/>
    <w:rsid w:val="24A106B2"/>
    <w:rsid w:val="24C70119"/>
    <w:rsid w:val="24E231A5"/>
    <w:rsid w:val="24E94533"/>
    <w:rsid w:val="24F133E8"/>
    <w:rsid w:val="24F84776"/>
    <w:rsid w:val="2503311B"/>
    <w:rsid w:val="25070E5D"/>
    <w:rsid w:val="257A518B"/>
    <w:rsid w:val="25DC7BF4"/>
    <w:rsid w:val="25E167D1"/>
    <w:rsid w:val="25F0544D"/>
    <w:rsid w:val="26040EF9"/>
    <w:rsid w:val="260B04D9"/>
    <w:rsid w:val="261A4BC0"/>
    <w:rsid w:val="262672CA"/>
    <w:rsid w:val="2637307C"/>
    <w:rsid w:val="265C0D35"/>
    <w:rsid w:val="267C13D7"/>
    <w:rsid w:val="268362C1"/>
    <w:rsid w:val="26971D6D"/>
    <w:rsid w:val="26B26BA7"/>
    <w:rsid w:val="26DE174A"/>
    <w:rsid w:val="27054F28"/>
    <w:rsid w:val="27133AE9"/>
    <w:rsid w:val="27165388"/>
    <w:rsid w:val="272F01F7"/>
    <w:rsid w:val="276C4FA7"/>
    <w:rsid w:val="278E13C2"/>
    <w:rsid w:val="279938C3"/>
    <w:rsid w:val="27A6495D"/>
    <w:rsid w:val="27C11943"/>
    <w:rsid w:val="27D31331"/>
    <w:rsid w:val="27DC037F"/>
    <w:rsid w:val="27DD5EA5"/>
    <w:rsid w:val="28011B94"/>
    <w:rsid w:val="280F766B"/>
    <w:rsid w:val="28164F13"/>
    <w:rsid w:val="282B58A2"/>
    <w:rsid w:val="284B2E0F"/>
    <w:rsid w:val="287A1946"/>
    <w:rsid w:val="28A644E9"/>
    <w:rsid w:val="28A95D87"/>
    <w:rsid w:val="28BE7A85"/>
    <w:rsid w:val="28EF40E2"/>
    <w:rsid w:val="29026AAD"/>
    <w:rsid w:val="29051210"/>
    <w:rsid w:val="29075B94"/>
    <w:rsid w:val="292D0766"/>
    <w:rsid w:val="29473259"/>
    <w:rsid w:val="296C74E1"/>
    <w:rsid w:val="297B5976"/>
    <w:rsid w:val="29B570DA"/>
    <w:rsid w:val="29BB550B"/>
    <w:rsid w:val="29EE6148"/>
    <w:rsid w:val="29FA2D3E"/>
    <w:rsid w:val="2A1060BE"/>
    <w:rsid w:val="2A1A518F"/>
    <w:rsid w:val="2A391AB9"/>
    <w:rsid w:val="2A461AE0"/>
    <w:rsid w:val="2A7C19A5"/>
    <w:rsid w:val="2A7C3754"/>
    <w:rsid w:val="2A7E2F04"/>
    <w:rsid w:val="2A9860B3"/>
    <w:rsid w:val="2AA35A64"/>
    <w:rsid w:val="2AEC6B2B"/>
    <w:rsid w:val="2B512E32"/>
    <w:rsid w:val="2B674404"/>
    <w:rsid w:val="2B7F56E4"/>
    <w:rsid w:val="2B945D2B"/>
    <w:rsid w:val="2BB1567F"/>
    <w:rsid w:val="2BC42966"/>
    <w:rsid w:val="2BD001FB"/>
    <w:rsid w:val="2BE47802"/>
    <w:rsid w:val="2BE67BA0"/>
    <w:rsid w:val="2BE74B98"/>
    <w:rsid w:val="2BEF7F55"/>
    <w:rsid w:val="2BF33EE9"/>
    <w:rsid w:val="2BF50816"/>
    <w:rsid w:val="2BF832AE"/>
    <w:rsid w:val="2C1A1476"/>
    <w:rsid w:val="2C345700"/>
    <w:rsid w:val="2C3818FC"/>
    <w:rsid w:val="2C3D5164"/>
    <w:rsid w:val="2CA174A1"/>
    <w:rsid w:val="2CAD22EA"/>
    <w:rsid w:val="2CB216AE"/>
    <w:rsid w:val="2CBC077F"/>
    <w:rsid w:val="2CCE2260"/>
    <w:rsid w:val="2CF41CC7"/>
    <w:rsid w:val="2D053ED4"/>
    <w:rsid w:val="2D1B237A"/>
    <w:rsid w:val="2D1E4F96"/>
    <w:rsid w:val="2D346567"/>
    <w:rsid w:val="2D55022E"/>
    <w:rsid w:val="2D8C0151"/>
    <w:rsid w:val="2D8C1F00"/>
    <w:rsid w:val="2D99461C"/>
    <w:rsid w:val="2DA364BB"/>
    <w:rsid w:val="2DA51213"/>
    <w:rsid w:val="2DB66F7C"/>
    <w:rsid w:val="2DC23B73"/>
    <w:rsid w:val="2DFE26D1"/>
    <w:rsid w:val="2E271C28"/>
    <w:rsid w:val="2E4722CA"/>
    <w:rsid w:val="2E4C168F"/>
    <w:rsid w:val="2E5F4259"/>
    <w:rsid w:val="2E693FEF"/>
    <w:rsid w:val="2EE1627B"/>
    <w:rsid w:val="2EE93382"/>
    <w:rsid w:val="2F034443"/>
    <w:rsid w:val="2F063F34"/>
    <w:rsid w:val="2F0B4FBF"/>
    <w:rsid w:val="2F2B399A"/>
    <w:rsid w:val="2F2F763C"/>
    <w:rsid w:val="2F37233F"/>
    <w:rsid w:val="2F5E78CC"/>
    <w:rsid w:val="2F5F067B"/>
    <w:rsid w:val="2F61560E"/>
    <w:rsid w:val="2F652935"/>
    <w:rsid w:val="2F6B3D97"/>
    <w:rsid w:val="2F911A4F"/>
    <w:rsid w:val="2FAC6889"/>
    <w:rsid w:val="2FBB7811"/>
    <w:rsid w:val="2FC34F87"/>
    <w:rsid w:val="2FE53B49"/>
    <w:rsid w:val="30030473"/>
    <w:rsid w:val="305B0B3B"/>
    <w:rsid w:val="308570DA"/>
    <w:rsid w:val="30872E52"/>
    <w:rsid w:val="30874C00"/>
    <w:rsid w:val="309D61D2"/>
    <w:rsid w:val="30A565FF"/>
    <w:rsid w:val="30C65728"/>
    <w:rsid w:val="30C9346B"/>
    <w:rsid w:val="30D47C77"/>
    <w:rsid w:val="30F85AFE"/>
    <w:rsid w:val="31132938"/>
    <w:rsid w:val="311C7A3E"/>
    <w:rsid w:val="31215055"/>
    <w:rsid w:val="315216B2"/>
    <w:rsid w:val="31570A76"/>
    <w:rsid w:val="316961F6"/>
    <w:rsid w:val="31730B40"/>
    <w:rsid w:val="31771119"/>
    <w:rsid w:val="31857392"/>
    <w:rsid w:val="3195334D"/>
    <w:rsid w:val="31AF3F03"/>
    <w:rsid w:val="31B63D70"/>
    <w:rsid w:val="31F9550A"/>
    <w:rsid w:val="32026C34"/>
    <w:rsid w:val="320F30FF"/>
    <w:rsid w:val="329201BA"/>
    <w:rsid w:val="329D297B"/>
    <w:rsid w:val="32B1065A"/>
    <w:rsid w:val="32B141B6"/>
    <w:rsid w:val="32CE64C4"/>
    <w:rsid w:val="32DB1233"/>
    <w:rsid w:val="32FC5B1B"/>
    <w:rsid w:val="32FC7B27"/>
    <w:rsid w:val="331A61FF"/>
    <w:rsid w:val="331C1F78"/>
    <w:rsid w:val="331F55C4"/>
    <w:rsid w:val="33386686"/>
    <w:rsid w:val="3344502A"/>
    <w:rsid w:val="337F6063"/>
    <w:rsid w:val="33843679"/>
    <w:rsid w:val="339E473B"/>
    <w:rsid w:val="33A65CE5"/>
    <w:rsid w:val="33AF6948"/>
    <w:rsid w:val="33CF0D98"/>
    <w:rsid w:val="33F26385"/>
    <w:rsid w:val="34012F1B"/>
    <w:rsid w:val="3402116D"/>
    <w:rsid w:val="34336EEB"/>
    <w:rsid w:val="34360E17"/>
    <w:rsid w:val="343B467F"/>
    <w:rsid w:val="344C063B"/>
    <w:rsid w:val="344F1ED9"/>
    <w:rsid w:val="347D6A46"/>
    <w:rsid w:val="348E2A01"/>
    <w:rsid w:val="34EB1C02"/>
    <w:rsid w:val="34F328E8"/>
    <w:rsid w:val="350B4052"/>
    <w:rsid w:val="3518051D"/>
    <w:rsid w:val="351A4295"/>
    <w:rsid w:val="353510CF"/>
    <w:rsid w:val="3550415A"/>
    <w:rsid w:val="35725E7F"/>
    <w:rsid w:val="35AB1391"/>
    <w:rsid w:val="35BF4E3C"/>
    <w:rsid w:val="361B02C4"/>
    <w:rsid w:val="361F5C0E"/>
    <w:rsid w:val="362178A5"/>
    <w:rsid w:val="36257395"/>
    <w:rsid w:val="364F61C0"/>
    <w:rsid w:val="36681034"/>
    <w:rsid w:val="36873BAC"/>
    <w:rsid w:val="36C941C4"/>
    <w:rsid w:val="36CC7811"/>
    <w:rsid w:val="36D13079"/>
    <w:rsid w:val="36E508D2"/>
    <w:rsid w:val="36EA4DED"/>
    <w:rsid w:val="370E1BD7"/>
    <w:rsid w:val="37125486"/>
    <w:rsid w:val="374675C3"/>
    <w:rsid w:val="37920A5A"/>
    <w:rsid w:val="37955E55"/>
    <w:rsid w:val="379A790F"/>
    <w:rsid w:val="37AB5B16"/>
    <w:rsid w:val="37C16C4A"/>
    <w:rsid w:val="37C329C2"/>
    <w:rsid w:val="37F27DEE"/>
    <w:rsid w:val="380A4A95"/>
    <w:rsid w:val="380D6333"/>
    <w:rsid w:val="381C20D2"/>
    <w:rsid w:val="38286C00"/>
    <w:rsid w:val="384358B1"/>
    <w:rsid w:val="384A6C3F"/>
    <w:rsid w:val="385B709E"/>
    <w:rsid w:val="38660E7F"/>
    <w:rsid w:val="38883C0B"/>
    <w:rsid w:val="389E6F8B"/>
    <w:rsid w:val="38B36EDA"/>
    <w:rsid w:val="38BD7550"/>
    <w:rsid w:val="38D330D8"/>
    <w:rsid w:val="38E01351"/>
    <w:rsid w:val="38F44393"/>
    <w:rsid w:val="391540FB"/>
    <w:rsid w:val="39537D75"/>
    <w:rsid w:val="397D3044"/>
    <w:rsid w:val="39803F30"/>
    <w:rsid w:val="39B34CB8"/>
    <w:rsid w:val="39D215E2"/>
    <w:rsid w:val="39FC665F"/>
    <w:rsid w:val="3A2F2590"/>
    <w:rsid w:val="3A35391F"/>
    <w:rsid w:val="3A445910"/>
    <w:rsid w:val="3A4F0030"/>
    <w:rsid w:val="3A5244D1"/>
    <w:rsid w:val="3A5E2E76"/>
    <w:rsid w:val="3A6366DE"/>
    <w:rsid w:val="3A773694"/>
    <w:rsid w:val="3A976388"/>
    <w:rsid w:val="3ADB0022"/>
    <w:rsid w:val="3AEC222F"/>
    <w:rsid w:val="3AF47336"/>
    <w:rsid w:val="3B1B48C3"/>
    <w:rsid w:val="3B5322AF"/>
    <w:rsid w:val="3B585B17"/>
    <w:rsid w:val="3B6E70E8"/>
    <w:rsid w:val="3B700D05"/>
    <w:rsid w:val="3BB41748"/>
    <w:rsid w:val="3BBA232E"/>
    <w:rsid w:val="3BBA40DC"/>
    <w:rsid w:val="3BE63123"/>
    <w:rsid w:val="3C0E4427"/>
    <w:rsid w:val="3C243C4B"/>
    <w:rsid w:val="3C29300F"/>
    <w:rsid w:val="3CD613E9"/>
    <w:rsid w:val="3CD8165C"/>
    <w:rsid w:val="3CDE1937"/>
    <w:rsid w:val="3CDE3DFA"/>
    <w:rsid w:val="3CEA09F1"/>
    <w:rsid w:val="3CEB6517"/>
    <w:rsid w:val="3CF8135F"/>
    <w:rsid w:val="3D023F8C"/>
    <w:rsid w:val="3D0A4BEF"/>
    <w:rsid w:val="3D0D2931"/>
    <w:rsid w:val="3D1313DA"/>
    <w:rsid w:val="3D163594"/>
    <w:rsid w:val="3D2A703F"/>
    <w:rsid w:val="3D37175C"/>
    <w:rsid w:val="3D434840"/>
    <w:rsid w:val="3D4E5423"/>
    <w:rsid w:val="3D5440BC"/>
    <w:rsid w:val="3D622C7D"/>
    <w:rsid w:val="3D706468"/>
    <w:rsid w:val="3D7D1865"/>
    <w:rsid w:val="3D863E3E"/>
    <w:rsid w:val="3D9646D4"/>
    <w:rsid w:val="3D9D42FB"/>
    <w:rsid w:val="3DE511B8"/>
    <w:rsid w:val="3E2E2B5F"/>
    <w:rsid w:val="3E6D18D9"/>
    <w:rsid w:val="3E7E5C40"/>
    <w:rsid w:val="3EA03A5D"/>
    <w:rsid w:val="3EDB4A95"/>
    <w:rsid w:val="3F0236C5"/>
    <w:rsid w:val="3F0A7128"/>
    <w:rsid w:val="3F1E2BD3"/>
    <w:rsid w:val="3F676329"/>
    <w:rsid w:val="3F73521B"/>
    <w:rsid w:val="3F87638B"/>
    <w:rsid w:val="3F8C3FE1"/>
    <w:rsid w:val="3F8E1B07"/>
    <w:rsid w:val="3F9D7F9C"/>
    <w:rsid w:val="3FA4132B"/>
    <w:rsid w:val="3FAE03FB"/>
    <w:rsid w:val="3FC62130"/>
    <w:rsid w:val="40224945"/>
    <w:rsid w:val="404843AC"/>
    <w:rsid w:val="40556AC9"/>
    <w:rsid w:val="40580367"/>
    <w:rsid w:val="407D1B7C"/>
    <w:rsid w:val="40B2013E"/>
    <w:rsid w:val="40DE261A"/>
    <w:rsid w:val="40F315A4"/>
    <w:rsid w:val="41314E40"/>
    <w:rsid w:val="415E19AD"/>
    <w:rsid w:val="41AA074E"/>
    <w:rsid w:val="41B15F81"/>
    <w:rsid w:val="41BB6E00"/>
    <w:rsid w:val="41C002C6"/>
    <w:rsid w:val="41C31810"/>
    <w:rsid w:val="41CE6C89"/>
    <w:rsid w:val="421F113C"/>
    <w:rsid w:val="422E312E"/>
    <w:rsid w:val="42426BD9"/>
    <w:rsid w:val="42446DF5"/>
    <w:rsid w:val="4253528A"/>
    <w:rsid w:val="425A2AFB"/>
    <w:rsid w:val="426E58B1"/>
    <w:rsid w:val="42707BEA"/>
    <w:rsid w:val="42C57F36"/>
    <w:rsid w:val="42C615B8"/>
    <w:rsid w:val="42C6780A"/>
    <w:rsid w:val="42C817D4"/>
    <w:rsid w:val="42C83582"/>
    <w:rsid w:val="431A7B56"/>
    <w:rsid w:val="43301127"/>
    <w:rsid w:val="43544E16"/>
    <w:rsid w:val="435E7A42"/>
    <w:rsid w:val="4368266F"/>
    <w:rsid w:val="436F1C50"/>
    <w:rsid w:val="4379487C"/>
    <w:rsid w:val="43864E1C"/>
    <w:rsid w:val="43A15B81"/>
    <w:rsid w:val="43A7763B"/>
    <w:rsid w:val="43AC589D"/>
    <w:rsid w:val="43CC0E50"/>
    <w:rsid w:val="441D5B50"/>
    <w:rsid w:val="44654E01"/>
    <w:rsid w:val="446A4FB6"/>
    <w:rsid w:val="446E63AB"/>
    <w:rsid w:val="446F3E06"/>
    <w:rsid w:val="44867251"/>
    <w:rsid w:val="44AA6E01"/>
    <w:rsid w:val="44BC2C73"/>
    <w:rsid w:val="44DB17A1"/>
    <w:rsid w:val="44F51B61"/>
    <w:rsid w:val="452D3B70"/>
    <w:rsid w:val="45350C77"/>
    <w:rsid w:val="45637592"/>
    <w:rsid w:val="456D0411"/>
    <w:rsid w:val="45741214"/>
    <w:rsid w:val="457E261E"/>
    <w:rsid w:val="45A100BA"/>
    <w:rsid w:val="45D3296A"/>
    <w:rsid w:val="45D44615"/>
    <w:rsid w:val="45DB537A"/>
    <w:rsid w:val="46022BE9"/>
    <w:rsid w:val="4607616F"/>
    <w:rsid w:val="462E7958"/>
    <w:rsid w:val="464E1FF0"/>
    <w:rsid w:val="46641814"/>
    <w:rsid w:val="467865FD"/>
    <w:rsid w:val="469814BD"/>
    <w:rsid w:val="46D97434"/>
    <w:rsid w:val="46F1770B"/>
    <w:rsid w:val="46F26E20"/>
    <w:rsid w:val="46F54B62"/>
    <w:rsid w:val="47152B0E"/>
    <w:rsid w:val="47486A40"/>
    <w:rsid w:val="475E44B5"/>
    <w:rsid w:val="476615BC"/>
    <w:rsid w:val="478D6B48"/>
    <w:rsid w:val="479A3013"/>
    <w:rsid w:val="479E6BB8"/>
    <w:rsid w:val="48013092"/>
    <w:rsid w:val="48180B08"/>
    <w:rsid w:val="4820176A"/>
    <w:rsid w:val="4823125B"/>
    <w:rsid w:val="48433B6D"/>
    <w:rsid w:val="484F3DFE"/>
    <w:rsid w:val="485D29BF"/>
    <w:rsid w:val="485F5EDD"/>
    <w:rsid w:val="487E46E3"/>
    <w:rsid w:val="4890006E"/>
    <w:rsid w:val="48A203D1"/>
    <w:rsid w:val="48A95C04"/>
    <w:rsid w:val="48BE256F"/>
    <w:rsid w:val="48D2515B"/>
    <w:rsid w:val="48F549A5"/>
    <w:rsid w:val="49137521"/>
    <w:rsid w:val="49640D26"/>
    <w:rsid w:val="497F6965"/>
    <w:rsid w:val="49804BB7"/>
    <w:rsid w:val="498413E9"/>
    <w:rsid w:val="498D09FC"/>
    <w:rsid w:val="49902920"/>
    <w:rsid w:val="499C5421"/>
    <w:rsid w:val="49A87C69"/>
    <w:rsid w:val="49BE748D"/>
    <w:rsid w:val="49CC7DFC"/>
    <w:rsid w:val="49DA50C7"/>
    <w:rsid w:val="4A1277D9"/>
    <w:rsid w:val="4A3743E5"/>
    <w:rsid w:val="4A4060F4"/>
    <w:rsid w:val="4A4200BE"/>
    <w:rsid w:val="4A5120AF"/>
    <w:rsid w:val="4A657908"/>
    <w:rsid w:val="4A677B24"/>
    <w:rsid w:val="4A7638C4"/>
    <w:rsid w:val="4A800BE6"/>
    <w:rsid w:val="4A842484"/>
    <w:rsid w:val="4A9401EE"/>
    <w:rsid w:val="4A9F3CEC"/>
    <w:rsid w:val="4A9F72BE"/>
    <w:rsid w:val="4AA04DE4"/>
    <w:rsid w:val="4AAA17BF"/>
    <w:rsid w:val="4AC72144"/>
    <w:rsid w:val="4ADA6548"/>
    <w:rsid w:val="4AE03433"/>
    <w:rsid w:val="4AE922E8"/>
    <w:rsid w:val="4AF34F14"/>
    <w:rsid w:val="4B166E55"/>
    <w:rsid w:val="4B44389C"/>
    <w:rsid w:val="4B58121B"/>
    <w:rsid w:val="4BA426B2"/>
    <w:rsid w:val="4BAF3531"/>
    <w:rsid w:val="4BC66ACD"/>
    <w:rsid w:val="4BC845F3"/>
    <w:rsid w:val="4BFA0524"/>
    <w:rsid w:val="4BFC604B"/>
    <w:rsid w:val="4C03562B"/>
    <w:rsid w:val="4C213D03"/>
    <w:rsid w:val="4C371778"/>
    <w:rsid w:val="4C72630D"/>
    <w:rsid w:val="4CAA3CF8"/>
    <w:rsid w:val="4CAF130F"/>
    <w:rsid w:val="4CB75092"/>
    <w:rsid w:val="4CE03BBE"/>
    <w:rsid w:val="4CEC2563"/>
    <w:rsid w:val="4D3B2BA3"/>
    <w:rsid w:val="4D5001A5"/>
    <w:rsid w:val="4D897DB2"/>
    <w:rsid w:val="4D8B3B2A"/>
    <w:rsid w:val="4DE06D76"/>
    <w:rsid w:val="4DE84AD8"/>
    <w:rsid w:val="4DEF40B9"/>
    <w:rsid w:val="4DFC0584"/>
    <w:rsid w:val="4DFE60AA"/>
    <w:rsid w:val="4E015B9A"/>
    <w:rsid w:val="4E08517B"/>
    <w:rsid w:val="4E1B3100"/>
    <w:rsid w:val="4E2D2E33"/>
    <w:rsid w:val="4E850579"/>
    <w:rsid w:val="4EC15329"/>
    <w:rsid w:val="4EDE412D"/>
    <w:rsid w:val="4EEC23A6"/>
    <w:rsid w:val="4EEF00E8"/>
    <w:rsid w:val="4F0B7C1B"/>
    <w:rsid w:val="4F8C6EB7"/>
    <w:rsid w:val="4FA47125"/>
    <w:rsid w:val="4FBC53FA"/>
    <w:rsid w:val="4FF9121F"/>
    <w:rsid w:val="501716A5"/>
    <w:rsid w:val="501A1195"/>
    <w:rsid w:val="50650662"/>
    <w:rsid w:val="50772144"/>
    <w:rsid w:val="50A218B6"/>
    <w:rsid w:val="50AC6291"/>
    <w:rsid w:val="50E7551B"/>
    <w:rsid w:val="50F10148"/>
    <w:rsid w:val="50F814D6"/>
    <w:rsid w:val="51121E6C"/>
    <w:rsid w:val="513F7105"/>
    <w:rsid w:val="516375F5"/>
    <w:rsid w:val="516F72BF"/>
    <w:rsid w:val="51856AE2"/>
    <w:rsid w:val="51960CEF"/>
    <w:rsid w:val="51A72EFC"/>
    <w:rsid w:val="51B7485D"/>
    <w:rsid w:val="51C72276"/>
    <w:rsid w:val="51C94C21"/>
    <w:rsid w:val="51D52940"/>
    <w:rsid w:val="51E7154B"/>
    <w:rsid w:val="52093835"/>
    <w:rsid w:val="520E6AD8"/>
    <w:rsid w:val="521A1920"/>
    <w:rsid w:val="522B768A"/>
    <w:rsid w:val="52354064"/>
    <w:rsid w:val="52383B54"/>
    <w:rsid w:val="523C1897"/>
    <w:rsid w:val="523F3135"/>
    <w:rsid w:val="524349D3"/>
    <w:rsid w:val="526D1A50"/>
    <w:rsid w:val="529C2335"/>
    <w:rsid w:val="52C06024"/>
    <w:rsid w:val="52F65EE9"/>
    <w:rsid w:val="52F83A10"/>
    <w:rsid w:val="53394028"/>
    <w:rsid w:val="53395DD6"/>
    <w:rsid w:val="534F1156"/>
    <w:rsid w:val="53542C10"/>
    <w:rsid w:val="535E4FF9"/>
    <w:rsid w:val="5385101B"/>
    <w:rsid w:val="53A616BE"/>
    <w:rsid w:val="53F8359B"/>
    <w:rsid w:val="54065CB8"/>
    <w:rsid w:val="54662BFB"/>
    <w:rsid w:val="54790B80"/>
    <w:rsid w:val="54947768"/>
    <w:rsid w:val="54A656ED"/>
    <w:rsid w:val="54A92AE8"/>
    <w:rsid w:val="54AE00FE"/>
    <w:rsid w:val="54C91A93"/>
    <w:rsid w:val="54ED6E78"/>
    <w:rsid w:val="54F00716"/>
    <w:rsid w:val="54F208D6"/>
    <w:rsid w:val="55182B13"/>
    <w:rsid w:val="55360176"/>
    <w:rsid w:val="5540344C"/>
    <w:rsid w:val="554051FA"/>
    <w:rsid w:val="55466588"/>
    <w:rsid w:val="554F18E1"/>
    <w:rsid w:val="555B64D8"/>
    <w:rsid w:val="5578388A"/>
    <w:rsid w:val="558F092A"/>
    <w:rsid w:val="55AC6D33"/>
    <w:rsid w:val="55CE0A58"/>
    <w:rsid w:val="55D87B28"/>
    <w:rsid w:val="55E738C7"/>
    <w:rsid w:val="55F54236"/>
    <w:rsid w:val="55F85AD5"/>
    <w:rsid w:val="5606196D"/>
    <w:rsid w:val="560721BC"/>
    <w:rsid w:val="561755FD"/>
    <w:rsid w:val="561F5757"/>
    <w:rsid w:val="563D3E2F"/>
    <w:rsid w:val="565C2507"/>
    <w:rsid w:val="566A3EEA"/>
    <w:rsid w:val="56821842"/>
    <w:rsid w:val="56BE0ACC"/>
    <w:rsid w:val="56E46059"/>
    <w:rsid w:val="56EF6ED8"/>
    <w:rsid w:val="56F97B0F"/>
    <w:rsid w:val="56FC33A3"/>
    <w:rsid w:val="57272B15"/>
    <w:rsid w:val="572D74CC"/>
    <w:rsid w:val="5743776C"/>
    <w:rsid w:val="57521214"/>
    <w:rsid w:val="57551741"/>
    <w:rsid w:val="57633422"/>
    <w:rsid w:val="57723665"/>
    <w:rsid w:val="577B076B"/>
    <w:rsid w:val="5785783C"/>
    <w:rsid w:val="57911D3D"/>
    <w:rsid w:val="57CE2F91"/>
    <w:rsid w:val="57E24C8E"/>
    <w:rsid w:val="57F549C2"/>
    <w:rsid w:val="58005114"/>
    <w:rsid w:val="5825158A"/>
    <w:rsid w:val="58276B45"/>
    <w:rsid w:val="584274DB"/>
    <w:rsid w:val="584730C8"/>
    <w:rsid w:val="58607961"/>
    <w:rsid w:val="58C34F27"/>
    <w:rsid w:val="58CE0D6F"/>
    <w:rsid w:val="58D12875"/>
    <w:rsid w:val="58DD0FB2"/>
    <w:rsid w:val="5902026F"/>
    <w:rsid w:val="592F7A5F"/>
    <w:rsid w:val="59480B21"/>
    <w:rsid w:val="594D25DB"/>
    <w:rsid w:val="59617E35"/>
    <w:rsid w:val="5963595B"/>
    <w:rsid w:val="59653481"/>
    <w:rsid w:val="59914276"/>
    <w:rsid w:val="599B0B90"/>
    <w:rsid w:val="59A815C0"/>
    <w:rsid w:val="59AA358A"/>
    <w:rsid w:val="59AC7302"/>
    <w:rsid w:val="59CF2FF0"/>
    <w:rsid w:val="59E52814"/>
    <w:rsid w:val="59FD7B5D"/>
    <w:rsid w:val="5A274BDA"/>
    <w:rsid w:val="5A347717"/>
    <w:rsid w:val="5A4968FF"/>
    <w:rsid w:val="5A6012E8"/>
    <w:rsid w:val="5A7616BE"/>
    <w:rsid w:val="5A8C56CF"/>
    <w:rsid w:val="5A90452E"/>
    <w:rsid w:val="5AD07020"/>
    <w:rsid w:val="5AD703AE"/>
    <w:rsid w:val="5ADA39FB"/>
    <w:rsid w:val="5B0D3DD0"/>
    <w:rsid w:val="5B1E5FDD"/>
    <w:rsid w:val="5B242EC8"/>
    <w:rsid w:val="5B5C51D4"/>
    <w:rsid w:val="5B8878FB"/>
    <w:rsid w:val="5B8D4F11"/>
    <w:rsid w:val="5B94004E"/>
    <w:rsid w:val="5B953DC6"/>
    <w:rsid w:val="5BA5390F"/>
    <w:rsid w:val="5BD13050"/>
    <w:rsid w:val="5BE734DC"/>
    <w:rsid w:val="5BF917BC"/>
    <w:rsid w:val="5C0D1BAE"/>
    <w:rsid w:val="5C1B42CB"/>
    <w:rsid w:val="5C25514A"/>
    <w:rsid w:val="5C3055B1"/>
    <w:rsid w:val="5C313AEE"/>
    <w:rsid w:val="5C340933"/>
    <w:rsid w:val="5C4E46A0"/>
    <w:rsid w:val="5C6C2D78"/>
    <w:rsid w:val="5C8E0F41"/>
    <w:rsid w:val="5C9A1694"/>
    <w:rsid w:val="5CAE3391"/>
    <w:rsid w:val="5CB87D6C"/>
    <w:rsid w:val="5D14180F"/>
    <w:rsid w:val="5D3C274B"/>
    <w:rsid w:val="5D445AA3"/>
    <w:rsid w:val="5D4F7925"/>
    <w:rsid w:val="5D5A7075"/>
    <w:rsid w:val="5D8D2FA6"/>
    <w:rsid w:val="5D973E25"/>
    <w:rsid w:val="5D9C58DF"/>
    <w:rsid w:val="5DA16A52"/>
    <w:rsid w:val="5DC664B8"/>
    <w:rsid w:val="5DDB1F64"/>
    <w:rsid w:val="5DE05969"/>
    <w:rsid w:val="5DEA664B"/>
    <w:rsid w:val="5DF00AC2"/>
    <w:rsid w:val="5E086AD1"/>
    <w:rsid w:val="5E6E102A"/>
    <w:rsid w:val="5ECB647C"/>
    <w:rsid w:val="5ECE3876"/>
    <w:rsid w:val="5F090D52"/>
    <w:rsid w:val="5F096FA4"/>
    <w:rsid w:val="5F1020E1"/>
    <w:rsid w:val="5F4A4830"/>
    <w:rsid w:val="5F4B4EC7"/>
    <w:rsid w:val="5F697A43"/>
    <w:rsid w:val="5F8B1768"/>
    <w:rsid w:val="5F8D36F9"/>
    <w:rsid w:val="5F944E8A"/>
    <w:rsid w:val="5FB95E5F"/>
    <w:rsid w:val="5FBB029F"/>
    <w:rsid w:val="5FC058B5"/>
    <w:rsid w:val="5FCF78A6"/>
    <w:rsid w:val="5FED41D0"/>
    <w:rsid w:val="5FFF5CB2"/>
    <w:rsid w:val="60121E89"/>
    <w:rsid w:val="60206354"/>
    <w:rsid w:val="60545FFD"/>
    <w:rsid w:val="60567FC7"/>
    <w:rsid w:val="60787F3E"/>
    <w:rsid w:val="60934D78"/>
    <w:rsid w:val="609A4358"/>
    <w:rsid w:val="60A32AE1"/>
    <w:rsid w:val="60A875CA"/>
    <w:rsid w:val="60C5514D"/>
    <w:rsid w:val="60CB5C16"/>
    <w:rsid w:val="60D86C2E"/>
    <w:rsid w:val="60DB4990"/>
    <w:rsid w:val="610164CF"/>
    <w:rsid w:val="616B0A13"/>
    <w:rsid w:val="617F4A66"/>
    <w:rsid w:val="61A22D98"/>
    <w:rsid w:val="61B353C5"/>
    <w:rsid w:val="61B825BC"/>
    <w:rsid w:val="61E810F3"/>
    <w:rsid w:val="61F01D56"/>
    <w:rsid w:val="61F41846"/>
    <w:rsid w:val="61F96E5C"/>
    <w:rsid w:val="620852F1"/>
    <w:rsid w:val="620D46B6"/>
    <w:rsid w:val="62195750"/>
    <w:rsid w:val="6243220B"/>
    <w:rsid w:val="626A7D5A"/>
    <w:rsid w:val="628241AA"/>
    <w:rsid w:val="62944BFA"/>
    <w:rsid w:val="62A019CE"/>
    <w:rsid w:val="62AC3ECF"/>
    <w:rsid w:val="62D022B3"/>
    <w:rsid w:val="62DA4EE0"/>
    <w:rsid w:val="62E30E34"/>
    <w:rsid w:val="630B32EB"/>
    <w:rsid w:val="630B32F5"/>
    <w:rsid w:val="63273E9D"/>
    <w:rsid w:val="6329551F"/>
    <w:rsid w:val="633A3BD0"/>
    <w:rsid w:val="63471784"/>
    <w:rsid w:val="6361115D"/>
    <w:rsid w:val="636E73D6"/>
    <w:rsid w:val="637F15E3"/>
    <w:rsid w:val="63942AE2"/>
    <w:rsid w:val="63B55005"/>
    <w:rsid w:val="63CA2F0F"/>
    <w:rsid w:val="63CC234F"/>
    <w:rsid w:val="63D80CF3"/>
    <w:rsid w:val="6401649C"/>
    <w:rsid w:val="640F0BB9"/>
    <w:rsid w:val="641F4B74"/>
    <w:rsid w:val="64446389"/>
    <w:rsid w:val="645E2387"/>
    <w:rsid w:val="646A5DEF"/>
    <w:rsid w:val="647833D8"/>
    <w:rsid w:val="64947310"/>
    <w:rsid w:val="64966BE4"/>
    <w:rsid w:val="64A37553"/>
    <w:rsid w:val="64C37BF6"/>
    <w:rsid w:val="64E77440"/>
    <w:rsid w:val="64F8789F"/>
    <w:rsid w:val="65167D25"/>
    <w:rsid w:val="65195110"/>
    <w:rsid w:val="65202952"/>
    <w:rsid w:val="65566374"/>
    <w:rsid w:val="6578278E"/>
    <w:rsid w:val="657B5DDA"/>
    <w:rsid w:val="6587477F"/>
    <w:rsid w:val="65884610"/>
    <w:rsid w:val="65A05EA6"/>
    <w:rsid w:val="65B23EF2"/>
    <w:rsid w:val="665054B9"/>
    <w:rsid w:val="665E7BD6"/>
    <w:rsid w:val="66A527BF"/>
    <w:rsid w:val="66BA2932"/>
    <w:rsid w:val="66DC6D4D"/>
    <w:rsid w:val="66DE0D17"/>
    <w:rsid w:val="66E3647D"/>
    <w:rsid w:val="66E856F1"/>
    <w:rsid w:val="66F95B50"/>
    <w:rsid w:val="67193AFD"/>
    <w:rsid w:val="6747066A"/>
    <w:rsid w:val="674A1F08"/>
    <w:rsid w:val="67786A75"/>
    <w:rsid w:val="677B47B7"/>
    <w:rsid w:val="679F4002"/>
    <w:rsid w:val="67A05FCC"/>
    <w:rsid w:val="67B11F87"/>
    <w:rsid w:val="67D6379C"/>
    <w:rsid w:val="67D85766"/>
    <w:rsid w:val="683F3A37"/>
    <w:rsid w:val="686D5EAE"/>
    <w:rsid w:val="68CA50AF"/>
    <w:rsid w:val="68CF6B69"/>
    <w:rsid w:val="68F55EA4"/>
    <w:rsid w:val="69216C99"/>
    <w:rsid w:val="69450BD9"/>
    <w:rsid w:val="695068F6"/>
    <w:rsid w:val="69807E63"/>
    <w:rsid w:val="699A7177"/>
    <w:rsid w:val="699F653B"/>
    <w:rsid w:val="69A022B3"/>
    <w:rsid w:val="69B84EDC"/>
    <w:rsid w:val="69BB0E9B"/>
    <w:rsid w:val="69DE3A22"/>
    <w:rsid w:val="69EC72A7"/>
    <w:rsid w:val="6A050368"/>
    <w:rsid w:val="6A05476A"/>
    <w:rsid w:val="6A132A85"/>
    <w:rsid w:val="6A184540"/>
    <w:rsid w:val="6A5F5CCB"/>
    <w:rsid w:val="6A633A0D"/>
    <w:rsid w:val="6A641533"/>
    <w:rsid w:val="6A9516EC"/>
    <w:rsid w:val="6AAC3876"/>
    <w:rsid w:val="6AB57AAC"/>
    <w:rsid w:val="6AE306AA"/>
    <w:rsid w:val="6AF43443"/>
    <w:rsid w:val="6B145035"/>
    <w:rsid w:val="6B160A7F"/>
    <w:rsid w:val="6B1A47A6"/>
    <w:rsid w:val="6B2036AC"/>
    <w:rsid w:val="6B2D7B77"/>
    <w:rsid w:val="6B6A4927"/>
    <w:rsid w:val="6B885214"/>
    <w:rsid w:val="6B8C0D41"/>
    <w:rsid w:val="6BB9765C"/>
    <w:rsid w:val="6BE20961"/>
    <w:rsid w:val="6BF80185"/>
    <w:rsid w:val="6C240F7A"/>
    <w:rsid w:val="6C3118E9"/>
    <w:rsid w:val="6CB00A5F"/>
    <w:rsid w:val="6CC22541"/>
    <w:rsid w:val="6CD56718"/>
    <w:rsid w:val="6CD7423E"/>
    <w:rsid w:val="6CF52602"/>
    <w:rsid w:val="6D25144D"/>
    <w:rsid w:val="6D282CEC"/>
    <w:rsid w:val="6D433682"/>
    <w:rsid w:val="6D486EEA"/>
    <w:rsid w:val="6D715A28"/>
    <w:rsid w:val="6D8C0420"/>
    <w:rsid w:val="6DC23F06"/>
    <w:rsid w:val="6DF130DE"/>
    <w:rsid w:val="6DF332FA"/>
    <w:rsid w:val="6DFA4688"/>
    <w:rsid w:val="6E027099"/>
    <w:rsid w:val="6E290AC9"/>
    <w:rsid w:val="6E8C2E06"/>
    <w:rsid w:val="6E9248C1"/>
    <w:rsid w:val="6EA840E4"/>
    <w:rsid w:val="6EC8176A"/>
    <w:rsid w:val="6ECE01AD"/>
    <w:rsid w:val="6EE92007"/>
    <w:rsid w:val="6F2B0871"/>
    <w:rsid w:val="6F2F210F"/>
    <w:rsid w:val="6F4F630E"/>
    <w:rsid w:val="6F5953DE"/>
    <w:rsid w:val="6F6D2C38"/>
    <w:rsid w:val="6F767D3E"/>
    <w:rsid w:val="6FB50862"/>
    <w:rsid w:val="6FC3279B"/>
    <w:rsid w:val="6FC860C0"/>
    <w:rsid w:val="6FD66A2F"/>
    <w:rsid w:val="70031C77"/>
    <w:rsid w:val="70141305"/>
    <w:rsid w:val="706758D9"/>
    <w:rsid w:val="70691651"/>
    <w:rsid w:val="706E310B"/>
    <w:rsid w:val="70765585"/>
    <w:rsid w:val="707D334E"/>
    <w:rsid w:val="709A2545"/>
    <w:rsid w:val="70DC12EC"/>
    <w:rsid w:val="70F829D5"/>
    <w:rsid w:val="7102592F"/>
    <w:rsid w:val="71265794"/>
    <w:rsid w:val="71381023"/>
    <w:rsid w:val="714633AC"/>
    <w:rsid w:val="71836742"/>
    <w:rsid w:val="71B73C68"/>
    <w:rsid w:val="71C254BD"/>
    <w:rsid w:val="71E116BB"/>
    <w:rsid w:val="72255A4C"/>
    <w:rsid w:val="722C2936"/>
    <w:rsid w:val="723E2669"/>
    <w:rsid w:val="729A3D44"/>
    <w:rsid w:val="72AA7CFF"/>
    <w:rsid w:val="72C76B03"/>
    <w:rsid w:val="72CC5EC7"/>
    <w:rsid w:val="72DA05E4"/>
    <w:rsid w:val="72FA0C86"/>
    <w:rsid w:val="73076EFF"/>
    <w:rsid w:val="73090EC9"/>
    <w:rsid w:val="731534B1"/>
    <w:rsid w:val="73362D3D"/>
    <w:rsid w:val="73644352"/>
    <w:rsid w:val="73A14648"/>
    <w:rsid w:val="73B726D3"/>
    <w:rsid w:val="73C372CA"/>
    <w:rsid w:val="73E159A2"/>
    <w:rsid w:val="73E62FB9"/>
    <w:rsid w:val="741713C4"/>
    <w:rsid w:val="743E4BA3"/>
    <w:rsid w:val="747B70A1"/>
    <w:rsid w:val="74865C7E"/>
    <w:rsid w:val="74936187"/>
    <w:rsid w:val="74B3733F"/>
    <w:rsid w:val="74C94DB4"/>
    <w:rsid w:val="74D3353D"/>
    <w:rsid w:val="74D42813"/>
    <w:rsid w:val="74FA31C0"/>
    <w:rsid w:val="751D6EAE"/>
    <w:rsid w:val="75247F9E"/>
    <w:rsid w:val="753164B5"/>
    <w:rsid w:val="7541494A"/>
    <w:rsid w:val="756B19C7"/>
    <w:rsid w:val="75706FDE"/>
    <w:rsid w:val="758D193E"/>
    <w:rsid w:val="75BE243F"/>
    <w:rsid w:val="75D154CB"/>
    <w:rsid w:val="75D91A00"/>
    <w:rsid w:val="75FA2D4B"/>
    <w:rsid w:val="761107C1"/>
    <w:rsid w:val="763816C7"/>
    <w:rsid w:val="76674885"/>
    <w:rsid w:val="766B39A6"/>
    <w:rsid w:val="769B452E"/>
    <w:rsid w:val="76C23869"/>
    <w:rsid w:val="76E063E5"/>
    <w:rsid w:val="76E16AC1"/>
    <w:rsid w:val="76FD0D45"/>
    <w:rsid w:val="772B7660"/>
    <w:rsid w:val="77784870"/>
    <w:rsid w:val="7782124A"/>
    <w:rsid w:val="778356EE"/>
    <w:rsid w:val="778B00FF"/>
    <w:rsid w:val="77935205"/>
    <w:rsid w:val="77C120E5"/>
    <w:rsid w:val="77D45F4A"/>
    <w:rsid w:val="77DB72D8"/>
    <w:rsid w:val="77E912C9"/>
    <w:rsid w:val="78056103"/>
    <w:rsid w:val="78267E28"/>
    <w:rsid w:val="782B3690"/>
    <w:rsid w:val="7868162E"/>
    <w:rsid w:val="787119EB"/>
    <w:rsid w:val="788A2AAC"/>
    <w:rsid w:val="78A0407E"/>
    <w:rsid w:val="78CF04BF"/>
    <w:rsid w:val="78FB7506"/>
    <w:rsid w:val="7919798C"/>
    <w:rsid w:val="794013BD"/>
    <w:rsid w:val="79443090"/>
    <w:rsid w:val="79694470"/>
    <w:rsid w:val="797352EE"/>
    <w:rsid w:val="797F1EE5"/>
    <w:rsid w:val="79863274"/>
    <w:rsid w:val="79961451"/>
    <w:rsid w:val="799A0ACD"/>
    <w:rsid w:val="79A27982"/>
    <w:rsid w:val="79C478F8"/>
    <w:rsid w:val="79EF0E13"/>
    <w:rsid w:val="7A2B3E1B"/>
    <w:rsid w:val="7A2E1215"/>
    <w:rsid w:val="7A4078C7"/>
    <w:rsid w:val="7A49604F"/>
    <w:rsid w:val="7A4B626B"/>
    <w:rsid w:val="7A601D17"/>
    <w:rsid w:val="7A652E89"/>
    <w:rsid w:val="7A682979"/>
    <w:rsid w:val="7A6D4434"/>
    <w:rsid w:val="7A7D6734"/>
    <w:rsid w:val="7A8F7F06"/>
    <w:rsid w:val="7A903C7E"/>
    <w:rsid w:val="7AB21E46"/>
    <w:rsid w:val="7AE30252"/>
    <w:rsid w:val="7B713AB0"/>
    <w:rsid w:val="7B7B492E"/>
    <w:rsid w:val="7BA75723"/>
    <w:rsid w:val="7BE03F70"/>
    <w:rsid w:val="7BE14791"/>
    <w:rsid w:val="7C102E34"/>
    <w:rsid w:val="7C176405"/>
    <w:rsid w:val="7C2B3C5E"/>
    <w:rsid w:val="7C2D5C29"/>
    <w:rsid w:val="7C3F595C"/>
    <w:rsid w:val="7C5E2286"/>
    <w:rsid w:val="7C75312C"/>
    <w:rsid w:val="7C95557C"/>
    <w:rsid w:val="7CA0464C"/>
    <w:rsid w:val="7CAE6B86"/>
    <w:rsid w:val="7CB43C54"/>
    <w:rsid w:val="7CB83A65"/>
    <w:rsid w:val="7CDE33C7"/>
    <w:rsid w:val="7CE65DD7"/>
    <w:rsid w:val="7D3028BF"/>
    <w:rsid w:val="7D3E79C1"/>
    <w:rsid w:val="7D5471E5"/>
    <w:rsid w:val="7D603DDC"/>
    <w:rsid w:val="7D711B45"/>
    <w:rsid w:val="7DA71A0B"/>
    <w:rsid w:val="7DAA5057"/>
    <w:rsid w:val="7DCA74A7"/>
    <w:rsid w:val="7E2B6198"/>
    <w:rsid w:val="7E2D1F10"/>
    <w:rsid w:val="7E490D14"/>
    <w:rsid w:val="7E4A2A41"/>
    <w:rsid w:val="7E7A0C20"/>
    <w:rsid w:val="7E8A7362"/>
    <w:rsid w:val="7EA67F14"/>
    <w:rsid w:val="7EBB599A"/>
    <w:rsid w:val="7F032C71"/>
    <w:rsid w:val="7F1B620C"/>
    <w:rsid w:val="7F1C3F56"/>
    <w:rsid w:val="7F3C6183"/>
    <w:rsid w:val="7F9E0BEB"/>
    <w:rsid w:val="7FA2692E"/>
    <w:rsid w:val="7FAC155A"/>
    <w:rsid w:val="7FBA3C77"/>
    <w:rsid w:val="7FC74050"/>
    <w:rsid w:val="7FDD5BB8"/>
    <w:rsid w:val="7FE753C9"/>
    <w:rsid w:val="7FEA3E31"/>
    <w:rsid w:val="7FF058EB"/>
    <w:rsid w:val="7FF36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styleId="3">
    <w:name w:val="Body Text Indent"/>
    <w:basedOn w:val="1"/>
    <w:next w:val="4"/>
    <w:autoRedefine/>
    <w:qFormat/>
    <w:uiPriority w:val="0"/>
    <w:pPr>
      <w:spacing w:after="120"/>
      <w:ind w:left="420" w:leftChars="200"/>
    </w:pPr>
  </w:style>
  <w:style w:type="paragraph" w:styleId="4">
    <w:name w:val="envelope return"/>
    <w:basedOn w:val="1"/>
    <w:autoRedefine/>
    <w:qFormat/>
    <w:uiPriority w:val="0"/>
    <w:pPr>
      <w:snapToGrid w:val="0"/>
    </w:pPr>
    <w:rPr>
      <w:rFonts w:ascii="Arial" w:hAnsi="Arial"/>
    </w:rPr>
  </w:style>
  <w:style w:type="paragraph" w:styleId="5">
    <w:name w:val="Plain Text"/>
    <w:basedOn w:val="1"/>
    <w:next w:val="1"/>
    <w:autoRedefine/>
    <w:unhideWhenUsed/>
    <w:qFormat/>
    <w:uiPriority w:val="99"/>
    <w:rPr>
      <w:rFonts w:ascii="宋体" w:hAnsi="Courier New"/>
    </w:rPr>
  </w:style>
  <w:style w:type="paragraph" w:styleId="6">
    <w:name w:val="footer"/>
    <w:basedOn w:val="1"/>
    <w:autoRedefine/>
    <w:qFormat/>
    <w:uiPriority w:val="0"/>
    <w:pPr>
      <w:tabs>
        <w:tab w:val="center" w:pos="4153"/>
        <w:tab w:val="right" w:pos="8306"/>
      </w:tabs>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8">
    <w:name w:val="Normal (Web)"/>
    <w:basedOn w:val="1"/>
    <w:autoRedefine/>
    <w:qFormat/>
    <w:uiPriority w:val="0"/>
    <w:pPr>
      <w:spacing w:before="100" w:beforeAutospacing="1" w:after="100" w:afterAutospacing="1"/>
    </w:pPr>
    <w:rPr>
      <w:rFonts w:cs="Times New Roman"/>
      <w:sz w:val="24"/>
    </w:rPr>
  </w:style>
  <w:style w:type="paragraph" w:styleId="9">
    <w:name w:val="Body Text First Indent"/>
    <w:basedOn w:val="2"/>
    <w:autoRedefine/>
    <w:unhideWhenUsed/>
    <w:qFormat/>
    <w:uiPriority w:val="99"/>
    <w:pPr>
      <w:tabs>
        <w:tab w:val="left" w:pos="567"/>
      </w:tabs>
      <w:spacing w:line="360" w:lineRule="auto"/>
      <w:ind w:firstLine="420" w:firstLineChars="100"/>
    </w:pPr>
    <w:rPr>
      <w:rFonts w:ascii="Times New Roman" w:hAnsi="Times New Roman"/>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autoRedefine/>
    <w:qFormat/>
    <w:uiPriority w:val="0"/>
    <w:rPr>
      <w:b/>
      <w:bCs/>
    </w:rPr>
  </w:style>
  <w:style w:type="character" w:styleId="14">
    <w:name w:val="FollowedHyperlink"/>
    <w:basedOn w:val="12"/>
    <w:autoRedefine/>
    <w:qFormat/>
    <w:uiPriority w:val="0"/>
    <w:rPr>
      <w:color w:val="5C5C5C"/>
      <w:u w:val="none"/>
    </w:rPr>
  </w:style>
  <w:style w:type="character" w:styleId="15">
    <w:name w:val="Emphasis"/>
    <w:basedOn w:val="12"/>
    <w:autoRedefine/>
    <w:qFormat/>
    <w:uiPriority w:val="0"/>
    <w:rPr>
      <w:b/>
      <w:bCs/>
    </w:rPr>
  </w:style>
  <w:style w:type="character" w:styleId="16">
    <w:name w:val="HTML Definition"/>
    <w:basedOn w:val="12"/>
    <w:autoRedefine/>
    <w:qFormat/>
    <w:uiPriority w:val="0"/>
  </w:style>
  <w:style w:type="character" w:styleId="17">
    <w:name w:val="HTML Typewriter"/>
    <w:basedOn w:val="12"/>
    <w:autoRedefine/>
    <w:qFormat/>
    <w:uiPriority w:val="0"/>
    <w:rPr>
      <w:rFonts w:hint="default" w:ascii="monospace" w:hAnsi="monospace" w:eastAsia="monospace" w:cs="monospace"/>
      <w:sz w:val="20"/>
    </w:rPr>
  </w:style>
  <w:style w:type="character" w:styleId="18">
    <w:name w:val="HTML Acronym"/>
    <w:basedOn w:val="12"/>
    <w:autoRedefine/>
    <w:qFormat/>
    <w:uiPriority w:val="0"/>
  </w:style>
  <w:style w:type="character" w:styleId="19">
    <w:name w:val="HTML Variable"/>
    <w:basedOn w:val="12"/>
    <w:autoRedefine/>
    <w:qFormat/>
    <w:uiPriority w:val="0"/>
  </w:style>
  <w:style w:type="character" w:styleId="20">
    <w:name w:val="Hyperlink"/>
    <w:basedOn w:val="12"/>
    <w:autoRedefine/>
    <w:qFormat/>
    <w:uiPriority w:val="0"/>
    <w:rPr>
      <w:color w:val="5C5C5C"/>
      <w:u w:val="none"/>
    </w:rPr>
  </w:style>
  <w:style w:type="character" w:styleId="21">
    <w:name w:val="HTML Code"/>
    <w:basedOn w:val="12"/>
    <w:autoRedefine/>
    <w:qFormat/>
    <w:uiPriority w:val="0"/>
    <w:rPr>
      <w:rFonts w:hint="default" w:ascii="monospace" w:hAnsi="monospace" w:eastAsia="monospace" w:cs="monospace"/>
      <w:sz w:val="20"/>
    </w:rPr>
  </w:style>
  <w:style w:type="character" w:styleId="22">
    <w:name w:val="HTML Cite"/>
    <w:basedOn w:val="12"/>
    <w:autoRedefine/>
    <w:qFormat/>
    <w:uiPriority w:val="0"/>
  </w:style>
  <w:style w:type="character" w:styleId="23">
    <w:name w:val="HTML Keyboard"/>
    <w:basedOn w:val="12"/>
    <w:autoRedefine/>
    <w:qFormat/>
    <w:uiPriority w:val="0"/>
    <w:rPr>
      <w:rFonts w:hint="default" w:ascii="monospace" w:hAnsi="monospace" w:eastAsia="monospace" w:cs="monospace"/>
      <w:sz w:val="20"/>
    </w:rPr>
  </w:style>
  <w:style w:type="character" w:styleId="24">
    <w:name w:val="HTML Sample"/>
    <w:basedOn w:val="12"/>
    <w:autoRedefine/>
    <w:qFormat/>
    <w:uiPriority w:val="0"/>
    <w:rPr>
      <w:rFonts w:ascii="monospace" w:hAnsi="monospace" w:eastAsia="monospace" w:cs="monospace"/>
    </w:rPr>
  </w:style>
  <w:style w:type="table" w:customStyle="1" w:styleId="25">
    <w:name w:val="Table Normal"/>
    <w:autoRedefine/>
    <w:semiHidden/>
    <w:unhideWhenUsed/>
    <w:qFormat/>
    <w:uiPriority w:val="0"/>
    <w:tblPr>
      <w:tblCellMar>
        <w:top w:w="0" w:type="dxa"/>
        <w:left w:w="0" w:type="dxa"/>
        <w:bottom w:w="0" w:type="dxa"/>
        <w:right w:w="0" w:type="dxa"/>
      </w:tblCellMar>
    </w:tblPr>
  </w:style>
  <w:style w:type="character" w:customStyle="1" w:styleId="26">
    <w:name w:val="hover"/>
    <w:basedOn w:val="12"/>
    <w:autoRedefine/>
    <w:qFormat/>
    <w:uiPriority w:val="0"/>
  </w:style>
  <w:style w:type="character" w:customStyle="1" w:styleId="27">
    <w:name w:val="hover1"/>
    <w:basedOn w:val="12"/>
    <w:autoRedefine/>
    <w:qFormat/>
    <w:uiPriority w:val="0"/>
    <w:rPr>
      <w:color w:val="2590EB"/>
    </w:rPr>
  </w:style>
  <w:style w:type="character" w:customStyle="1" w:styleId="28">
    <w:name w:val="hover2"/>
    <w:basedOn w:val="12"/>
    <w:autoRedefine/>
    <w:qFormat/>
    <w:uiPriority w:val="0"/>
    <w:rPr>
      <w:color w:val="2590EB"/>
    </w:rPr>
  </w:style>
  <w:style w:type="character" w:customStyle="1" w:styleId="29">
    <w:name w:val="hover3"/>
    <w:basedOn w:val="12"/>
    <w:autoRedefine/>
    <w:qFormat/>
    <w:uiPriority w:val="0"/>
    <w:rPr>
      <w:color w:val="2590EB"/>
      <w:shd w:val="clear" w:color="auto" w:fill="E9F4FD"/>
    </w:rPr>
  </w:style>
  <w:style w:type="paragraph" w:styleId="30">
    <w:name w:val="List Paragraph"/>
    <w:basedOn w:val="1"/>
    <w:autoRedefine/>
    <w:unhideWhenUsed/>
    <w:qFormat/>
    <w:uiPriority w:val="99"/>
    <w:pPr>
      <w:ind w:firstLine="420" w:firstLineChars="200"/>
    </w:pPr>
  </w:style>
  <w:style w:type="paragraph" w:customStyle="1" w:styleId="31">
    <w:name w:val="模板普通正文"/>
    <w:basedOn w:val="3"/>
    <w:autoRedefine/>
    <w:qFormat/>
    <w:uiPriority w:val="0"/>
    <w:pPr>
      <w:spacing w:beforeLines="50" w:after="10"/>
      <w:ind w:firstLine="490" w:firstLineChars="175"/>
      <w:jc w:val="lef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6366</Words>
  <Characters>6951</Characters>
  <Lines>57</Lines>
  <Paragraphs>16</Paragraphs>
  <TotalTime>0</TotalTime>
  <ScaleCrop>false</ScaleCrop>
  <LinksUpToDate>false</LinksUpToDate>
  <CharactersWithSpaces>7060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2022-01-04T09:22:00Z</dcterms:created>
  <dc:creator>yw</dc:creator>
  <cp:lastModifiedBy>浅歌</cp:lastModifiedBy>
  <cp:lastPrinted>2023-04-17T08:28:00Z</cp:lastPrinted>
  <dcterms:modified xsi:type="dcterms:W3CDTF">2024-12-18T08:00:12Z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2022-04-09T09:57:15Z</vt:filetime>
  </property>
  <property fmtid="{D5CDD505-2E9C-101B-9397-08002B2CF9AE}" pid="4" name="KSOProductBuildVer">
    <vt:lpwstr>2052-12.1.0.19302</vt:lpwstr>
  </property>
  <property fmtid="{D5CDD505-2E9C-101B-9397-08002B2CF9AE}" pid="5" name="ICV">
    <vt:lpwstr>F97D69FF064E410681758B3C0D796C66_13</vt:lpwstr>
  </property>
</Properties>
</file>